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AC89F" w14:textId="16792E98" w:rsidR="00944F0C" w:rsidRPr="00944F0C" w:rsidRDefault="00944F0C" w:rsidP="003923DC">
      <w:pPr>
        <w:pStyle w:val="3-author"/>
        <w:spacing w:after="480" w:line="360" w:lineRule="auto"/>
        <w:rPr>
          <w:rFonts w:asciiTheme="minorHAnsi" w:eastAsiaTheme="majorEastAsia" w:hAnsiTheme="minorHAnsi" w:cstheme="minorHAnsi"/>
          <w:sz w:val="32"/>
          <w:szCs w:val="32"/>
          <w:lang w:val="cs-CZ"/>
        </w:rPr>
      </w:pPr>
      <w:r w:rsidRPr="00944F0C">
        <w:rPr>
          <w:rFonts w:asciiTheme="minorHAnsi" w:eastAsiaTheme="majorEastAsia" w:hAnsiTheme="minorHAnsi" w:cstheme="minorHAnsi"/>
          <w:sz w:val="32"/>
          <w:szCs w:val="32"/>
          <w:lang w:val="en-US"/>
        </w:rPr>
        <w:t>Synthesis and Characterization of Boroaluminates</w:t>
      </w:r>
      <w:r w:rsidRPr="00944F0C">
        <w:rPr>
          <w:rFonts w:asciiTheme="minorHAnsi" w:eastAsiaTheme="majorEastAsia" w:hAnsiTheme="minorHAnsi" w:cstheme="minorHAnsi"/>
          <w:sz w:val="32"/>
          <w:szCs w:val="32"/>
          <w:lang w:val="cs-CZ"/>
        </w:rPr>
        <w:t xml:space="preserve"> via </w:t>
      </w:r>
      <w:r w:rsidR="00BF7CC2">
        <w:rPr>
          <w:rFonts w:asciiTheme="minorHAnsi" w:eastAsiaTheme="majorEastAsia" w:hAnsiTheme="minorHAnsi" w:cstheme="minorHAnsi"/>
          <w:sz w:val="32"/>
          <w:szCs w:val="32"/>
          <w:lang w:val="en-US"/>
        </w:rPr>
        <w:t>Non</w:t>
      </w:r>
      <w:r w:rsidR="00E92F29">
        <w:rPr>
          <w:rFonts w:asciiTheme="minorHAnsi" w:eastAsiaTheme="majorEastAsia" w:hAnsiTheme="minorHAnsi" w:cstheme="minorHAnsi"/>
          <w:sz w:val="32"/>
          <w:szCs w:val="32"/>
          <w:lang w:val="en-US"/>
        </w:rPr>
        <w:t>-H</w:t>
      </w:r>
      <w:r w:rsidR="00BF7CC2" w:rsidRPr="00944F0C">
        <w:rPr>
          <w:rFonts w:asciiTheme="minorHAnsi" w:eastAsiaTheme="majorEastAsia" w:hAnsiTheme="minorHAnsi" w:cstheme="minorHAnsi"/>
          <w:sz w:val="32"/>
          <w:szCs w:val="32"/>
          <w:lang w:val="en-US"/>
        </w:rPr>
        <w:t>ydrolytic</w:t>
      </w:r>
      <w:r w:rsidRPr="00944F0C">
        <w:rPr>
          <w:rFonts w:asciiTheme="minorHAnsi" w:eastAsiaTheme="majorEastAsia" w:hAnsiTheme="minorHAnsi" w:cstheme="minorHAnsi"/>
          <w:sz w:val="32"/>
          <w:szCs w:val="32"/>
          <w:lang w:val="en-US"/>
        </w:rPr>
        <w:t xml:space="preserve"> Sol-Gel</w:t>
      </w:r>
      <w:r w:rsidRPr="00944F0C">
        <w:rPr>
          <w:rFonts w:asciiTheme="minorHAnsi" w:eastAsiaTheme="majorEastAsia" w:hAnsiTheme="minorHAnsi" w:cstheme="minorHAnsi"/>
          <w:sz w:val="32"/>
          <w:szCs w:val="32"/>
          <w:lang w:val="cs-CZ"/>
        </w:rPr>
        <w:t xml:space="preserve"> </w:t>
      </w:r>
      <w:r w:rsidR="00B24265">
        <w:rPr>
          <w:rFonts w:asciiTheme="minorHAnsi" w:eastAsiaTheme="majorEastAsia" w:hAnsiTheme="minorHAnsi" w:cstheme="minorHAnsi"/>
          <w:sz w:val="32"/>
          <w:szCs w:val="32"/>
          <w:lang w:val="cs-CZ"/>
        </w:rPr>
        <w:t>Method</w:t>
      </w:r>
    </w:p>
    <w:p w14:paraId="1FF01038" w14:textId="58894CF9" w:rsidR="003923DC" w:rsidRPr="00944F0C" w:rsidRDefault="003923DC" w:rsidP="003923DC">
      <w:pPr>
        <w:pStyle w:val="3-author"/>
        <w:spacing w:after="480" w:line="360" w:lineRule="auto"/>
        <w:rPr>
          <w:rFonts w:asciiTheme="minorHAnsi" w:eastAsiaTheme="majorEastAsia" w:hAnsiTheme="minorHAnsi" w:cstheme="minorHAnsi"/>
          <w:b w:val="0"/>
          <w:bCs/>
          <w:sz w:val="28"/>
          <w:szCs w:val="28"/>
          <w:lang w:val="sk-SK"/>
        </w:rPr>
      </w:pPr>
      <w:r w:rsidRPr="003923DC">
        <w:rPr>
          <w:rFonts w:asciiTheme="minorHAnsi" w:eastAsiaTheme="majorEastAsia" w:hAnsiTheme="minorHAnsi" w:cstheme="minorHAnsi"/>
          <w:b w:val="0"/>
          <w:bCs/>
          <w:sz w:val="28"/>
          <w:szCs w:val="28"/>
          <w:u w:val="single"/>
          <w:lang w:val="cs-CZ"/>
        </w:rPr>
        <w:t>Michal Mlynek</w:t>
      </w:r>
      <w:r w:rsidRPr="003923DC">
        <w:rPr>
          <w:rFonts w:asciiTheme="minorHAnsi" w:eastAsiaTheme="majorEastAsia" w:hAnsiTheme="minorHAnsi" w:cstheme="minorHAnsi"/>
          <w:b w:val="0"/>
          <w:bCs/>
          <w:sz w:val="28"/>
          <w:szCs w:val="28"/>
          <w:vertAlign w:val="superscript"/>
          <w:lang w:val="en-US"/>
        </w:rPr>
        <w:t>1</w:t>
      </w:r>
      <w:r w:rsidRPr="003923DC">
        <w:rPr>
          <w:rFonts w:asciiTheme="minorHAnsi" w:eastAsiaTheme="majorEastAsia" w:hAnsiTheme="minorHAnsi" w:cstheme="minorHAnsi"/>
          <w:b w:val="0"/>
          <w:bCs/>
          <w:sz w:val="28"/>
          <w:szCs w:val="28"/>
          <w:lang w:val="en-US"/>
        </w:rPr>
        <w:t xml:space="preserve">, </w:t>
      </w:r>
      <w:r w:rsidRPr="003923DC">
        <w:rPr>
          <w:rFonts w:asciiTheme="minorHAnsi" w:eastAsiaTheme="majorEastAsia" w:hAnsiTheme="minorHAnsi" w:cstheme="minorHAnsi"/>
          <w:b w:val="0"/>
          <w:bCs/>
          <w:sz w:val="28"/>
          <w:szCs w:val="28"/>
          <w:lang w:val="cs-CZ"/>
        </w:rPr>
        <w:t>Zdeněk Moravec</w:t>
      </w:r>
      <w:r w:rsidRPr="003923DC">
        <w:rPr>
          <w:rFonts w:asciiTheme="minorHAnsi" w:eastAsiaTheme="majorEastAsia" w:hAnsiTheme="minorHAnsi" w:cstheme="minorHAnsi"/>
          <w:b w:val="0"/>
          <w:bCs/>
          <w:sz w:val="28"/>
          <w:szCs w:val="28"/>
          <w:vertAlign w:val="superscript"/>
          <w:lang w:val="cs-CZ"/>
        </w:rPr>
        <w:t>1</w:t>
      </w:r>
      <w:r w:rsidRPr="003923DC">
        <w:rPr>
          <w:rFonts w:asciiTheme="minorHAnsi" w:eastAsiaTheme="majorEastAsia" w:hAnsiTheme="minorHAnsi" w:cstheme="minorHAnsi"/>
          <w:b w:val="0"/>
          <w:bCs/>
          <w:sz w:val="28"/>
          <w:szCs w:val="28"/>
          <w:lang w:val="en-US"/>
        </w:rPr>
        <w:t xml:space="preserve">, </w:t>
      </w:r>
      <w:r w:rsidRPr="003923DC">
        <w:rPr>
          <w:rFonts w:asciiTheme="minorHAnsi" w:eastAsiaTheme="majorEastAsia" w:hAnsiTheme="minorHAnsi" w:cstheme="minorHAnsi"/>
          <w:b w:val="0"/>
          <w:bCs/>
          <w:sz w:val="28"/>
          <w:szCs w:val="28"/>
          <w:lang w:val="sk-SK"/>
        </w:rPr>
        <w:t>Aleš</w:t>
      </w:r>
      <w:bookmarkStart w:id="0" w:name="_GoBack"/>
      <w:bookmarkEnd w:id="0"/>
      <w:r w:rsidRPr="003923DC">
        <w:rPr>
          <w:rFonts w:asciiTheme="minorHAnsi" w:eastAsiaTheme="majorEastAsia" w:hAnsiTheme="minorHAnsi" w:cstheme="minorHAnsi"/>
          <w:b w:val="0"/>
          <w:bCs/>
          <w:sz w:val="28"/>
          <w:szCs w:val="28"/>
          <w:lang w:val="sk-SK"/>
        </w:rPr>
        <w:t xml:space="preserve"> Stýskalík</w:t>
      </w:r>
      <w:r w:rsidRPr="003923DC">
        <w:rPr>
          <w:rFonts w:asciiTheme="minorHAnsi" w:eastAsiaTheme="majorEastAsia" w:hAnsiTheme="minorHAnsi" w:cstheme="minorHAnsi"/>
          <w:b w:val="0"/>
          <w:bCs/>
          <w:sz w:val="28"/>
          <w:szCs w:val="28"/>
          <w:vertAlign w:val="superscript"/>
          <w:lang w:val="sk-SK"/>
        </w:rPr>
        <w:t>2</w:t>
      </w:r>
      <w:r w:rsidRPr="003923DC">
        <w:rPr>
          <w:rFonts w:asciiTheme="minorHAnsi" w:eastAsiaTheme="majorEastAsia" w:hAnsiTheme="minorHAnsi" w:cstheme="minorHAnsi"/>
          <w:b w:val="0"/>
          <w:bCs/>
          <w:sz w:val="28"/>
          <w:szCs w:val="28"/>
          <w:lang w:val="sk-SK"/>
        </w:rPr>
        <w:t xml:space="preserve">, </w:t>
      </w:r>
      <w:r w:rsidRPr="003923DC">
        <w:rPr>
          <w:rFonts w:asciiTheme="minorHAnsi" w:eastAsiaTheme="majorEastAsia" w:hAnsiTheme="minorHAnsi" w:cstheme="minorHAnsi"/>
          <w:b w:val="0"/>
          <w:bCs/>
          <w:sz w:val="28"/>
          <w:szCs w:val="28"/>
          <w:lang w:val="cs-CZ"/>
        </w:rPr>
        <w:t>Petr Machač</w:t>
      </w:r>
      <w:r w:rsidRPr="003923DC">
        <w:rPr>
          <w:rFonts w:asciiTheme="minorHAnsi" w:eastAsiaTheme="majorEastAsia" w:hAnsiTheme="minorHAnsi" w:cstheme="minorHAnsi"/>
          <w:b w:val="0"/>
          <w:bCs/>
          <w:sz w:val="28"/>
          <w:szCs w:val="28"/>
          <w:vertAlign w:val="superscript"/>
          <w:lang w:val="sk-SK"/>
        </w:rPr>
        <w:t>2</w:t>
      </w:r>
      <w:r w:rsidRPr="003923DC">
        <w:rPr>
          <w:rFonts w:asciiTheme="minorHAnsi" w:eastAsiaTheme="majorEastAsia" w:hAnsiTheme="minorHAnsi" w:cstheme="minorHAnsi"/>
          <w:b w:val="0"/>
          <w:bCs/>
          <w:sz w:val="28"/>
          <w:szCs w:val="28"/>
          <w:lang w:val="en-US"/>
        </w:rPr>
        <w:t xml:space="preserve">, </w:t>
      </w:r>
      <w:r w:rsidRPr="003923DC">
        <w:rPr>
          <w:rFonts w:asciiTheme="minorHAnsi" w:eastAsiaTheme="majorEastAsia" w:hAnsiTheme="minorHAnsi" w:cstheme="minorHAnsi"/>
          <w:b w:val="0"/>
          <w:bCs/>
          <w:sz w:val="28"/>
          <w:szCs w:val="28"/>
          <w:lang w:val="cs-CZ"/>
        </w:rPr>
        <w:t>Tomáš Pokorný</w:t>
      </w:r>
      <w:r w:rsidRPr="003923DC">
        <w:rPr>
          <w:rFonts w:asciiTheme="minorHAnsi" w:eastAsiaTheme="majorEastAsia" w:hAnsiTheme="minorHAnsi" w:cstheme="minorHAnsi"/>
          <w:b w:val="0"/>
          <w:bCs/>
          <w:sz w:val="28"/>
          <w:szCs w:val="28"/>
          <w:vertAlign w:val="superscript"/>
          <w:lang w:val="cs-CZ"/>
        </w:rPr>
        <w:t>1</w:t>
      </w:r>
      <w:r w:rsidRPr="003923DC">
        <w:rPr>
          <w:rFonts w:asciiTheme="minorHAnsi" w:eastAsiaTheme="majorEastAsia" w:hAnsiTheme="minorHAnsi" w:cstheme="minorHAnsi"/>
          <w:b w:val="0"/>
          <w:bCs/>
          <w:sz w:val="28"/>
          <w:szCs w:val="28"/>
          <w:lang w:val="en-US"/>
        </w:rPr>
        <w:t>,</w:t>
      </w:r>
      <w:r w:rsidRPr="003923DC">
        <w:rPr>
          <w:rFonts w:asciiTheme="minorHAnsi" w:eastAsiaTheme="majorEastAsia" w:hAnsiTheme="minorHAnsi" w:cstheme="minorHAnsi"/>
          <w:b w:val="0"/>
          <w:bCs/>
          <w:sz w:val="28"/>
          <w:szCs w:val="28"/>
          <w:lang w:val="sk-SK"/>
        </w:rPr>
        <w:t xml:space="preserve"> Lucie Šimoníková</w:t>
      </w:r>
      <w:r w:rsidRPr="003923DC">
        <w:rPr>
          <w:rFonts w:asciiTheme="minorHAnsi" w:eastAsiaTheme="majorEastAsia" w:hAnsiTheme="minorHAnsi" w:cstheme="minorHAnsi"/>
          <w:b w:val="0"/>
          <w:bCs/>
          <w:sz w:val="28"/>
          <w:szCs w:val="28"/>
          <w:vertAlign w:val="superscript"/>
          <w:lang w:val="sk-SK"/>
        </w:rPr>
        <w:t>1</w:t>
      </w:r>
      <w:r w:rsidRPr="003923DC">
        <w:rPr>
          <w:rFonts w:asciiTheme="minorHAnsi" w:eastAsiaTheme="majorEastAsia" w:hAnsiTheme="minorHAnsi" w:cstheme="minorHAnsi"/>
          <w:b w:val="0"/>
          <w:bCs/>
          <w:sz w:val="28"/>
          <w:szCs w:val="28"/>
          <w:lang w:val="sk-SK"/>
        </w:rPr>
        <w:t>,</w:t>
      </w:r>
      <w:r w:rsidRPr="003923DC">
        <w:rPr>
          <w:rFonts w:asciiTheme="minorHAnsi" w:eastAsiaTheme="majorEastAsia" w:hAnsiTheme="minorHAnsi" w:cstheme="minorHAnsi"/>
          <w:b w:val="0"/>
          <w:bCs/>
          <w:sz w:val="28"/>
          <w:szCs w:val="28"/>
          <w:lang w:val="en-US"/>
        </w:rPr>
        <w:t xml:space="preserve"> Ji</w:t>
      </w:r>
      <w:r w:rsidRPr="003923DC">
        <w:rPr>
          <w:rFonts w:asciiTheme="minorHAnsi" w:eastAsiaTheme="majorEastAsia" w:hAnsiTheme="minorHAnsi" w:cstheme="minorHAnsi"/>
          <w:b w:val="0"/>
          <w:bCs/>
          <w:sz w:val="28"/>
          <w:szCs w:val="28"/>
          <w:lang w:val="sk-SK"/>
        </w:rPr>
        <w:t>ří</w:t>
      </w:r>
      <w:r w:rsidRPr="003923DC">
        <w:rPr>
          <w:rFonts w:asciiTheme="minorHAnsi" w:eastAsiaTheme="majorEastAsia" w:hAnsiTheme="minorHAnsi" w:cstheme="minorHAnsi"/>
          <w:b w:val="0"/>
          <w:bCs/>
          <w:sz w:val="28"/>
          <w:szCs w:val="28"/>
          <w:lang w:val="en-US"/>
        </w:rPr>
        <w:t xml:space="preserve"> Pinkas</w:t>
      </w:r>
      <w:r w:rsidRPr="003923DC">
        <w:rPr>
          <w:rFonts w:asciiTheme="minorHAnsi" w:eastAsiaTheme="majorEastAsia" w:hAnsiTheme="minorHAnsi" w:cstheme="minorHAnsi"/>
          <w:b w:val="0"/>
          <w:bCs/>
          <w:sz w:val="28"/>
          <w:szCs w:val="28"/>
          <w:vertAlign w:val="superscript"/>
          <w:lang w:val="en-US"/>
        </w:rPr>
        <w:t>1*</w:t>
      </w:r>
    </w:p>
    <w:p w14:paraId="110D4632" w14:textId="77777777" w:rsidR="003923DC" w:rsidRPr="003923DC" w:rsidRDefault="003923DC" w:rsidP="003923DC">
      <w:pPr>
        <w:pStyle w:val="Nadpis2"/>
        <w:spacing w:line="360" w:lineRule="auto"/>
        <w:jc w:val="center"/>
        <w:rPr>
          <w:rFonts w:asciiTheme="minorHAnsi" w:hAnsiTheme="minorHAnsi" w:cstheme="minorHAnsi"/>
          <w:bCs/>
          <w:i/>
          <w:iCs/>
          <w:color w:val="000000" w:themeColor="text1"/>
          <w:sz w:val="20"/>
          <w:szCs w:val="28"/>
          <w:lang w:val="sk-SK"/>
        </w:rPr>
      </w:pPr>
      <w:r w:rsidRPr="003923DC">
        <w:rPr>
          <w:rFonts w:asciiTheme="minorHAnsi" w:hAnsiTheme="minorHAnsi" w:cstheme="minorHAnsi"/>
          <w:bCs/>
          <w:i/>
          <w:iCs/>
          <w:color w:val="000000" w:themeColor="text1"/>
          <w:sz w:val="20"/>
          <w:szCs w:val="28"/>
          <w:vertAlign w:val="superscript"/>
          <w:lang w:val="sk-SK"/>
        </w:rPr>
        <w:t>1</w:t>
      </w:r>
      <w:r w:rsidRPr="003923DC">
        <w:rPr>
          <w:rFonts w:asciiTheme="minorHAnsi" w:hAnsiTheme="minorHAnsi" w:cstheme="minorHAnsi"/>
          <w:bCs/>
          <w:i/>
          <w:iCs/>
          <w:color w:val="000000" w:themeColor="text1"/>
          <w:sz w:val="20"/>
          <w:szCs w:val="28"/>
          <w:lang w:val="sk-SK"/>
        </w:rPr>
        <w:t>Masaryk University, Department of Chemistry, Kotlarska 2, 611 37 Brno, Czech Republic</w:t>
      </w:r>
    </w:p>
    <w:p w14:paraId="454AAE67" w14:textId="77777777" w:rsidR="003923DC" w:rsidRPr="003923DC" w:rsidRDefault="003923DC" w:rsidP="003923DC">
      <w:pPr>
        <w:pStyle w:val="Nadpis2"/>
        <w:spacing w:line="360" w:lineRule="auto"/>
        <w:jc w:val="center"/>
        <w:rPr>
          <w:rFonts w:asciiTheme="minorHAnsi" w:hAnsiTheme="minorHAnsi" w:cstheme="minorHAnsi"/>
          <w:bCs/>
          <w:i/>
          <w:iCs/>
          <w:color w:val="000000" w:themeColor="text1"/>
          <w:sz w:val="20"/>
          <w:szCs w:val="28"/>
          <w:lang w:val="sk-SK"/>
        </w:rPr>
      </w:pPr>
      <w:r w:rsidRPr="003923DC">
        <w:rPr>
          <w:rFonts w:asciiTheme="minorHAnsi" w:hAnsiTheme="minorHAnsi" w:cstheme="minorHAnsi"/>
          <w:bCs/>
          <w:i/>
          <w:iCs/>
          <w:color w:val="000000" w:themeColor="text1"/>
          <w:sz w:val="20"/>
          <w:szCs w:val="28"/>
          <w:vertAlign w:val="superscript"/>
          <w:lang w:val="sk-SK"/>
        </w:rPr>
        <w:t>2</w:t>
      </w:r>
      <w:r w:rsidRPr="003923DC">
        <w:rPr>
          <w:rFonts w:asciiTheme="minorHAnsi" w:hAnsiTheme="minorHAnsi" w:cstheme="minorHAnsi"/>
          <w:bCs/>
          <w:i/>
          <w:iCs/>
          <w:color w:val="000000" w:themeColor="text1"/>
          <w:sz w:val="20"/>
          <w:szCs w:val="28"/>
          <w:lang w:val="sk-SK"/>
        </w:rPr>
        <w:t>Masaryk University, CEITEC MU, Kamenice 5, 601 77 Brno, Czech Republic</w:t>
      </w:r>
    </w:p>
    <w:p w14:paraId="05393313" w14:textId="61CC2EE5" w:rsidR="003923DC" w:rsidRPr="003923DC" w:rsidRDefault="003923DC" w:rsidP="003923DC">
      <w:pPr>
        <w:spacing w:line="360" w:lineRule="auto"/>
        <w:ind w:left="2832" w:firstLine="708"/>
        <w:rPr>
          <w:rFonts w:cstheme="minorHAnsi"/>
          <w:i/>
          <w:iCs/>
          <w:color w:val="000000" w:themeColor="text1"/>
          <w:lang w:val="sk-SK"/>
        </w:rPr>
      </w:pPr>
      <w:r w:rsidRPr="003923DC">
        <w:rPr>
          <w:rFonts w:cstheme="minorHAnsi"/>
          <w:i/>
          <w:iCs/>
          <w:color w:val="000000" w:themeColor="text1"/>
          <w:lang w:val="sk-SK"/>
        </w:rPr>
        <w:t xml:space="preserve">e-mail: </w:t>
      </w:r>
      <w:hyperlink r:id="rId7" w:history="1">
        <w:r w:rsidRPr="003923DC">
          <w:rPr>
            <w:rStyle w:val="Hypertextovodkaz"/>
            <w:rFonts w:cstheme="minorHAnsi"/>
            <w:i/>
            <w:iCs/>
            <w:color w:val="000000" w:themeColor="text1"/>
            <w:lang w:val="sk-SK"/>
          </w:rPr>
          <w:t>460872@mail.muni.cz</w:t>
        </w:r>
      </w:hyperlink>
    </w:p>
    <w:p w14:paraId="3FD5465F" w14:textId="50489C93" w:rsidR="00B17EB0" w:rsidRPr="00944F0C" w:rsidRDefault="00B17EB0" w:rsidP="00B17EB0">
      <w:pPr>
        <w:spacing w:after="240" w:line="360" w:lineRule="auto"/>
        <w:rPr>
          <w:rFonts w:eastAsiaTheme="majorEastAsia" w:cstheme="minorHAnsi"/>
          <w:sz w:val="30"/>
          <w:szCs w:val="30"/>
          <w:u w:val="single"/>
        </w:rPr>
      </w:pPr>
      <w:r w:rsidRPr="00B17EB0">
        <w:rPr>
          <w:rFonts w:cstheme="minorHAnsi"/>
          <w:b/>
          <w:bCs/>
          <w:lang w:val="en-US"/>
        </w:rPr>
        <w:t>Key words</w:t>
      </w:r>
      <w:r w:rsidRPr="00B17EB0">
        <w:rPr>
          <w:rFonts w:cstheme="minorHAnsi"/>
          <w:lang w:val="en-US"/>
        </w:rPr>
        <w:t xml:space="preserve">: </w:t>
      </w:r>
      <w:r w:rsidR="00983CE8">
        <w:rPr>
          <w:rFonts w:cstheme="minorHAnsi"/>
          <w:lang w:val="en-US"/>
        </w:rPr>
        <w:t xml:space="preserve">active sites, </w:t>
      </w:r>
      <w:r w:rsidR="00944F0C">
        <w:rPr>
          <w:rFonts w:cstheme="minorHAnsi"/>
          <w:lang w:val="en-US"/>
        </w:rPr>
        <w:t>boroaluminates, catalyst</w:t>
      </w:r>
      <w:r w:rsidR="00072392">
        <w:rPr>
          <w:rFonts w:cstheme="minorHAnsi"/>
          <w:lang w:val="en-US"/>
        </w:rPr>
        <w:t xml:space="preserve">, </w:t>
      </w:r>
      <w:r w:rsidR="00977FD1">
        <w:rPr>
          <w:rFonts w:cstheme="minorHAnsi"/>
          <w:lang w:val="en-US"/>
        </w:rPr>
        <w:t>mixed-oxide, non</w:t>
      </w:r>
      <w:r w:rsidR="006C3FC1">
        <w:rPr>
          <w:rFonts w:cstheme="minorHAnsi"/>
          <w:lang w:val="en-US"/>
        </w:rPr>
        <w:t>-</w:t>
      </w:r>
      <w:r w:rsidR="0074410D">
        <w:rPr>
          <w:rFonts w:cstheme="minorHAnsi"/>
          <w:lang w:val="en-US"/>
        </w:rPr>
        <w:t>hydrolytic</w:t>
      </w:r>
      <w:r w:rsidR="00944F0C">
        <w:rPr>
          <w:rFonts w:cstheme="minorHAnsi"/>
          <w:lang w:val="en-US"/>
        </w:rPr>
        <w:t xml:space="preserve"> sol-gel</w:t>
      </w:r>
      <w:r w:rsidR="00844D95">
        <w:rPr>
          <w:rFonts w:cstheme="minorHAnsi"/>
          <w:lang w:val="en-US"/>
        </w:rPr>
        <w:t>, porous materials</w:t>
      </w:r>
    </w:p>
    <w:p w14:paraId="6AC3CE43" w14:textId="6A2F9E35" w:rsidR="00013AF6" w:rsidRPr="00B17EB0" w:rsidRDefault="00013AF6" w:rsidP="002C6773">
      <w:pPr>
        <w:pStyle w:val="Nadpis2"/>
        <w:spacing w:line="240" w:lineRule="auto"/>
        <w:rPr>
          <w:rFonts w:asciiTheme="minorHAnsi" w:hAnsiTheme="minorHAnsi" w:cstheme="minorHAnsi"/>
          <w:color w:val="auto"/>
          <w:sz w:val="30"/>
          <w:szCs w:val="30"/>
          <w:u w:val="single"/>
        </w:rPr>
      </w:pPr>
      <w:r w:rsidRPr="00B17EB0">
        <w:rPr>
          <w:rFonts w:asciiTheme="minorHAnsi" w:hAnsiTheme="minorHAnsi" w:cstheme="minorHAnsi"/>
          <w:color w:val="auto"/>
          <w:sz w:val="30"/>
          <w:szCs w:val="30"/>
          <w:u w:val="single"/>
        </w:rPr>
        <w:t>Abstract</w:t>
      </w:r>
    </w:p>
    <w:p w14:paraId="1B7BB1B1" w14:textId="18F1577F" w:rsidR="008D1575" w:rsidRDefault="00B17EB0" w:rsidP="00B17EB0">
      <w:pPr>
        <w:jc w:val="both"/>
        <w:rPr>
          <w:lang w:val="en-GB"/>
        </w:rPr>
      </w:pPr>
      <w:r w:rsidRPr="00B17EB0">
        <w:rPr>
          <w:lang w:val="en-GB"/>
        </w:rPr>
        <w:t>Aluminium oxide is commonly used as a catalyst or catalyst support in many processes, such as oxidation, dehydrogenation, or isomerization. Al</w:t>
      </w:r>
      <w:r w:rsidRPr="00B17EB0">
        <w:rPr>
          <w:vertAlign w:val="subscript"/>
          <w:lang w:val="en-GB"/>
        </w:rPr>
        <w:t>2</w:t>
      </w:r>
      <w:r w:rsidRPr="00B17EB0">
        <w:rPr>
          <w:lang w:val="en-GB"/>
        </w:rPr>
        <w:t>O</w:t>
      </w:r>
      <w:r w:rsidRPr="00B17EB0">
        <w:rPr>
          <w:vertAlign w:val="subscript"/>
          <w:lang w:val="en-GB"/>
        </w:rPr>
        <w:t>3</w:t>
      </w:r>
      <w:r w:rsidRPr="00B17EB0">
        <w:rPr>
          <w:lang w:val="en-GB"/>
        </w:rPr>
        <w:t xml:space="preserve"> has an amphoteric character, which is undesirable in specific catalytic applications. However, the acidity of aluminium oxide can be promoted by binding with other metal oxides, such as B</w:t>
      </w:r>
      <w:r w:rsidRPr="00B17EB0">
        <w:rPr>
          <w:vertAlign w:val="subscript"/>
          <w:lang w:val="en-GB"/>
        </w:rPr>
        <w:t>2</w:t>
      </w:r>
      <w:r w:rsidRPr="00B17EB0">
        <w:rPr>
          <w:lang w:val="en-GB"/>
        </w:rPr>
        <w:t>O</w:t>
      </w:r>
      <w:r w:rsidRPr="00B17EB0">
        <w:rPr>
          <w:vertAlign w:val="subscript"/>
          <w:lang w:val="en-GB"/>
        </w:rPr>
        <w:t>3</w:t>
      </w:r>
      <w:r w:rsidRPr="00B17EB0">
        <w:rPr>
          <w:lang w:val="en-GB"/>
        </w:rPr>
        <w:t xml:space="preserve">. Different coordination of </w:t>
      </w:r>
      <w:r w:rsidR="00F532C8">
        <w:rPr>
          <w:lang w:val="en-GB"/>
        </w:rPr>
        <w:t>aluminium</w:t>
      </w:r>
      <w:r w:rsidRPr="00B17EB0">
        <w:rPr>
          <w:lang w:val="en-GB"/>
        </w:rPr>
        <w:t xml:space="preserve"> and </w:t>
      </w:r>
      <w:r w:rsidR="00F532C8">
        <w:rPr>
          <w:lang w:val="en-GB"/>
        </w:rPr>
        <w:t>boron</w:t>
      </w:r>
      <w:r w:rsidRPr="00B17EB0">
        <w:rPr>
          <w:lang w:val="en-GB"/>
        </w:rPr>
        <w:t xml:space="preserve"> atoms creates different Lewis and Brønsted acid sites</w:t>
      </w:r>
      <w:r w:rsidR="008D1575">
        <w:rPr>
          <w:lang w:val="en-GB"/>
        </w:rPr>
        <w:t>.</w:t>
      </w:r>
      <w:r w:rsidRPr="00B17EB0">
        <w:rPr>
          <w:lang w:val="en-GB"/>
        </w:rPr>
        <w:t xml:space="preserve"> </w:t>
      </w:r>
      <w:r w:rsidR="008D1575">
        <w:rPr>
          <w:lang w:val="en-GB"/>
        </w:rPr>
        <w:t xml:space="preserve">Overall acidity of material is highly depending </w:t>
      </w:r>
      <w:r w:rsidRPr="00B17EB0">
        <w:rPr>
          <w:lang w:val="en-GB"/>
        </w:rPr>
        <w:t>on homogeneity and uniformity of the system, and oxides ratio, respectively.</w:t>
      </w:r>
      <w:r w:rsidR="00983CE8">
        <w:rPr>
          <w:lang w:val="en-GB"/>
        </w:rPr>
        <w:t xml:space="preserve"> Resulting material can possibly possess interesting</w:t>
      </w:r>
      <w:r w:rsidRPr="00B17EB0">
        <w:rPr>
          <w:lang w:val="en-GB"/>
        </w:rPr>
        <w:t xml:space="preserve"> </w:t>
      </w:r>
      <w:r w:rsidR="00983CE8">
        <w:rPr>
          <w:lang w:val="en-GB"/>
        </w:rPr>
        <w:t>acidic active sites, suitable for catalysis.</w:t>
      </w:r>
      <w:r w:rsidR="00860744">
        <w:rPr>
          <w:lang w:val="en-GB"/>
        </w:rPr>
        <w:fldChar w:fldCharType="begin" w:fldLock="1"/>
      </w:r>
      <w:r w:rsidR="00860744">
        <w:rPr>
          <w:lang w:val="en-GB"/>
        </w:rPr>
        <w:instrText>ADDIN CSL_CITATION {"citationItems":[{"id":"ITEM-1","itemData":{"author":[{"dropping-particle":"","family":"Delmastro","given":"Alessandro","non-dropping-particle":"","parse-names":false,"suffix":""},{"dropping-particle":"","family":"Gozzelino","given":"Giuseppe","non-dropping-particle":"","parse-names":false,"suffix":""},{"dropping-particle":"","family":"Mazza","given":"Daniele","non-dropping-particle":"","parse-names":false,"suffix":""},{"dropping-particle":"","family":"Vallino","given":"Mario","non-dropping-particle":"","parse-names":false,"suffix":""},{"dropping-particle":"","family":"Busca","given":"Guido","non-dropping-particle":"","parse-names":false,"suffix":""},{"dropping-particle":"","family":"Lorenzelli","given":"Vincenzo","non-dropping-particle":"","parse-names":false,"suffix":""}],"container-title":"Journal of the Chemical Society, Faraday Transactions","id":"ITEM-1","issued":{"date-parts":[["1992"]]},"page":"2065-2070","title":"Characterization of microporous amorphous alumina–boria","type":"article-journal","volume":"88"},"uris":["http://www.mendeley.com/documents/?uuid=76c476cb-fd3e-4b20-b697-3c9116335801"]},{"id":"ITEM-2","itemData":{"DOI":"https://doi.org/10.1016/S0926-860X(99)00137-4","ISSN":"0926-860X","abstract":"The acidity and surface structure of pure γ-alumina and a borated alumina (AB), containing a low amount of boria (1.9wt.%), are investigated by a variety of techniques. The coordination states of B, and the distribution of hydroxyls on the surface, are studied by 11B MAS NMR and UV–Vis-NIR spectroscopies, respectively. Partially hydrated AB has trigonal boron (BO3) on the surface, as found in B2O3 (via 11B quadrupolar parameters), and a small part (ca. 50μmol/g of AB, or 10% mole) of the boron nuclei exhibit 11B resonances narrowed by exchange with water (BO4). Boria introduction creates new types of surface hydroxyl groups, giving rise to a B–OHNIR band at 1382nm. However, quantification via NIR bands reveals no significant change in the total number of hydroxyl groups. The structural types of borate surface species on dried AB, consistent with this finding, are presented. Pyrrole adsorption shows that AB contains no basic sites. The acidities (quantity, strength) of dehydrated samples are evaluated by IR spectroscopy and static volumetric adsorption using pyridine and ammonia as basic probes, respectively. In-situ 13C NMR is also used to study the acid/base strength by monitoring the low energy model reactions (at 25°C) of 1-butene double-bond isomerization (DBI) and isobutene dimerization. All three methods concur that dried AB has greater acidity than γ-alumina due to Lewis acid sites with greater strength. Volumetry and in-situ NMR find that only ca. 6% of the boron nuclei (34μmol/g) on dried AB furnish (Lewis acid) chemisorption sites for butene. This corresponds closely to the number of sites in AB adsorbing water (forming BO4 by 11B NMR) and to those chemisorbing pyridine strongly (desorption above 400°C). UV–Vis-NIR spectra reveal that the Lewis sites of AB perturb the double bond of chemisorbed olefins (partial hydride transfer) and the surface hydroxyl groups physisorb olefins by H-bonding.","author":[{"dropping-particle":"","family":"Flego","given":"Cristina","non-dropping-particle":"","parse-names":false,"suffix":""},{"dropping-particle":"","family":"Parker","given":"Wallace O’Neil","non-dropping-particle":"","parse-names":false,"suffix":""}],"container-title":"Applied Catalysis A: General","id":"ITEM-2","issue":"1","issued":{"date-parts":[["1999"]]},"page":"137-152","title":"Characterization of γ-alumina and borated alumina catalysts","type":"article-journal","volume":"185"},"uris":["http://www.mendeley.com/documents/?uuid=6021adff-acae-4f67-941b-feb747d8aeb7"]},{"id":"ITEM-3","itemData":{"DOI":"https://doi.org/10.1016/j.jcat.2022.11.012","ISSN":"0021-9517","abstract":"Recently, Penta-coordinated Al (AlV) have attracted large attention and is promising for tailoring catalysts with the capability to form new BAS in specific mixed oxide. In this study, amorphous alumina-boria materials with enriched surface AlV were prepared as platforms for the formation of potential new BAS. With the aid of solid-state NMR, interacting species of AlV with three-coordinated boron have been identified in the highly distorted local structure with BAS forming potential (AlV-OH···BIII). The catalytic activity of the AlV-BAS has been tested by the phenylglyoxal conversion, where the functionality of AlV-BAS has been further verified by the in situ 1H NMR. Herein, the ssNMR observation demonstrates the first experimental visualization of a new type AlV-BAS in non-silica alumina materials present with predominance. The AlV-BAS is promising to serve as one new state-of-the-art strategy to improve acid catalytic performance in varied mixed oxides.","author":[{"dropping-particle":"","family":"Yang","given":"Wenjie","non-dropping-particle":"","parse-names":false,"suffix":""},{"dropping-particle":"","family":"Kim","given":"Kyung Duk","non-dropping-particle":"","parse-names":false,"suffix":""},{"dropping-particle":"","family":"O'Dell","given":"Luke A","non-dropping-particle":"","parse-names":false,"suffix":""},{"dropping-particle":"","family":"Wang","given":"Lizhuo","non-dropping-particle":"","parse-names":false,"suffix":""},{"dropping-particle":"","family":"Xu","given":"Haimei","non-dropping-particle":"","parse-names":false,"suffix":""},{"dropping-particle":"","family":"Ruan","given":"Mengtong","non-dropping-particle":"","parse-names":false,"suffix":""},{"dropping-particle":"","family":"Wang","given":"Wei","non-dropping-particle":"","parse-names":false,"suffix":""},{"dropping-particle":"","family":"Ryoo","given":"Ryong","non-dropping-particle":"","parse-names":false,"suffix":""},{"dropping-particle":"","family":"Jiang","given":"Yijiao","non-dropping-particle":"","parse-names":false,"suffix":""},{"dropping-particle":"","family":"Huang","given":"Jun","non-dropping-particle":"","parse-names":false,"suffix":""}],"container-title":"Journal of Catalysis","id":"ITEM-3","issued":{"date-parts":[["2022"]]},"page":"375-386","title":"Brønsted acid sites formation through penta-coordinated aluminum species on alumina-boria for phenylglyoxal conversion","type":"article-journal","volume":"416"},"uris":["http://www.mendeley.com/documents/?uuid=9730cfe3-3142-42d8-b57a-69d557e44fb9"]}],"mendeley":{"formattedCitation":"&lt;sup&gt;1–3&lt;/sup&gt;","plainTextFormattedCitation":"1–3"},"properties":{"noteIndex":0},"schema":"https://github.com/citation-style-language/schema/raw/master/csl-citation.json"}</w:instrText>
      </w:r>
      <w:r w:rsidR="00860744">
        <w:rPr>
          <w:lang w:val="en-GB"/>
        </w:rPr>
        <w:fldChar w:fldCharType="separate"/>
      </w:r>
      <w:r w:rsidR="00860744" w:rsidRPr="00860744">
        <w:rPr>
          <w:noProof/>
          <w:vertAlign w:val="superscript"/>
          <w:lang w:val="en-GB"/>
        </w:rPr>
        <w:t>1–3</w:t>
      </w:r>
      <w:r w:rsidR="00860744">
        <w:rPr>
          <w:lang w:val="en-GB"/>
        </w:rPr>
        <w:fldChar w:fldCharType="end"/>
      </w:r>
    </w:p>
    <w:p w14:paraId="5C52C394" w14:textId="7917CDF2" w:rsidR="00B17EB0" w:rsidRPr="00B17EB0" w:rsidRDefault="0074410D" w:rsidP="00B17EB0">
      <w:pPr>
        <w:jc w:val="both"/>
        <w:rPr>
          <w:lang w:val="en-GB"/>
        </w:rPr>
      </w:pPr>
      <w:r>
        <w:rPr>
          <w:lang w:val="en-GB"/>
        </w:rPr>
        <w:t>N</w:t>
      </w:r>
      <w:r w:rsidR="00B17EB0" w:rsidRPr="00B17EB0">
        <w:rPr>
          <w:lang w:val="en-GB"/>
        </w:rPr>
        <w:t>on-hydrolytic sol-gel method</w:t>
      </w:r>
      <w:r>
        <w:rPr>
          <w:lang w:val="en-GB"/>
        </w:rPr>
        <w:t xml:space="preserve"> (NHSG</w:t>
      </w:r>
      <w:r w:rsidR="00B17EB0" w:rsidRPr="00B17EB0">
        <w:rPr>
          <w:lang w:val="en-GB"/>
        </w:rPr>
        <w:t>) could be very promising for this purpose,</w:t>
      </w:r>
      <w:r w:rsidR="00C83DCC">
        <w:rPr>
          <w:lang w:val="en-GB"/>
        </w:rPr>
        <w:t xml:space="preserve"> </w:t>
      </w:r>
      <w:r w:rsidR="00B17EB0" w:rsidRPr="00B17EB0">
        <w:rPr>
          <w:lang w:val="en-GB"/>
        </w:rPr>
        <w:t xml:space="preserve">preserving hydrothermal stability and potentially leading to higher porosity, acidity, and, thus, catalytic activity. </w:t>
      </w:r>
      <w:r w:rsidR="00C83DCC">
        <w:rPr>
          <w:lang w:val="en-GB"/>
        </w:rPr>
        <w:t>Another advantage, that sol-gel approach brings, are mild reaction conditions</w:t>
      </w:r>
      <w:r>
        <w:rPr>
          <w:lang w:val="en-GB"/>
        </w:rPr>
        <w:t xml:space="preserve">, possibly more homogeneous </w:t>
      </w:r>
      <w:r w:rsidR="00FC22E5">
        <w:rPr>
          <w:lang w:val="en-GB"/>
        </w:rPr>
        <w:t>distribution,</w:t>
      </w:r>
      <w:r>
        <w:rPr>
          <w:lang w:val="en-GB"/>
        </w:rPr>
        <w:t xml:space="preserve"> and higher control over amount of oxygen atoms in precursors, than in hydrolytic sol-gel. </w:t>
      </w:r>
    </w:p>
    <w:p w14:paraId="6E25E6D8" w14:textId="767ABA56" w:rsidR="00B17EB0" w:rsidRPr="00B17EB0" w:rsidRDefault="008D1575" w:rsidP="00B17EB0">
      <w:pPr>
        <w:jc w:val="both"/>
        <w:rPr>
          <w:lang w:val="en-GB"/>
        </w:rPr>
      </w:pPr>
      <w:r w:rsidRPr="008D1575">
        <w:rPr>
          <w:lang w:val="en-GB"/>
        </w:rPr>
        <w:t>In our work</w:t>
      </w:r>
      <w:r w:rsidR="00B17EB0" w:rsidRPr="00B17EB0">
        <w:rPr>
          <w:lang w:val="en-GB"/>
        </w:rPr>
        <w:t xml:space="preserve"> we prepared </w:t>
      </w:r>
      <w:r w:rsidRPr="008D1575">
        <w:rPr>
          <w:lang w:val="en-GB"/>
        </w:rPr>
        <w:t>mixed oxide of alumina and boria</w:t>
      </w:r>
      <w:r w:rsidR="00B17EB0" w:rsidRPr="00B17EB0">
        <w:rPr>
          <w:lang w:val="en-GB"/>
        </w:rPr>
        <w:t xml:space="preserve"> </w:t>
      </w:r>
      <w:r w:rsidRPr="00B17EB0">
        <w:rPr>
          <w:lang w:val="en-GB"/>
        </w:rPr>
        <w:t xml:space="preserve">via alkylhalide NHSG synthesis </w:t>
      </w:r>
      <w:r w:rsidR="00B17EB0" w:rsidRPr="00B17EB0">
        <w:rPr>
          <w:lang w:val="en-GB"/>
        </w:rPr>
        <w:t>with a boron/aluminium precursor ratio 1:1</w:t>
      </w:r>
      <w:r w:rsidRPr="008D1575">
        <w:rPr>
          <w:lang w:val="en-GB"/>
        </w:rPr>
        <w:t>.</w:t>
      </w:r>
      <w:r w:rsidR="00B17EB0" w:rsidRPr="00B17EB0">
        <w:rPr>
          <w:lang w:val="en-GB"/>
        </w:rPr>
        <w:t xml:space="preserve"> </w:t>
      </w:r>
      <w:r w:rsidRPr="008D1575">
        <w:rPr>
          <w:lang w:val="en-GB"/>
        </w:rPr>
        <w:t>We characterized our material using</w:t>
      </w:r>
      <w:r w:rsidR="00B17EB0" w:rsidRPr="00B17EB0">
        <w:rPr>
          <w:lang w:val="en-GB"/>
        </w:rPr>
        <w:t xml:space="preserve"> MAS NMR, SEM microscopy, </w:t>
      </w:r>
      <w:r w:rsidR="00240D92">
        <w:rPr>
          <w:lang w:val="en-GB"/>
        </w:rPr>
        <w:t>N</w:t>
      </w:r>
      <w:r w:rsidR="00240D92" w:rsidRPr="00240D92">
        <w:rPr>
          <w:vertAlign w:val="subscript"/>
          <w:lang w:val="en-GB"/>
        </w:rPr>
        <w:t>2</w:t>
      </w:r>
      <w:r w:rsidR="00B17EB0" w:rsidRPr="00B17EB0">
        <w:rPr>
          <w:lang w:val="en-GB"/>
        </w:rPr>
        <w:t xml:space="preserve"> porosimetry, and thermogravimetry combined with ICP-OES and XPS </w:t>
      </w:r>
      <w:r w:rsidRPr="00B17EB0">
        <w:rPr>
          <w:lang w:val="en-GB"/>
        </w:rPr>
        <w:t>elemental analysis</w:t>
      </w:r>
      <w:r w:rsidRPr="008D1575">
        <w:rPr>
          <w:lang w:val="en-GB"/>
        </w:rPr>
        <w:t>.</w:t>
      </w:r>
      <w:r w:rsidRPr="00B17EB0">
        <w:rPr>
          <w:lang w:val="en-GB"/>
        </w:rPr>
        <w:t xml:space="preserve"> </w:t>
      </w:r>
      <w:r w:rsidRPr="008D1575">
        <w:rPr>
          <w:lang w:val="en-GB"/>
        </w:rPr>
        <w:t>We also tried its practical application in catalytical reaction</w:t>
      </w:r>
      <w:r w:rsidR="00B17EB0" w:rsidRPr="00B17EB0">
        <w:rPr>
          <w:lang w:val="en-GB"/>
        </w:rPr>
        <w:t xml:space="preserve"> </w:t>
      </w:r>
      <w:r w:rsidRPr="008D1575">
        <w:rPr>
          <w:lang w:val="en-GB"/>
        </w:rPr>
        <w:t>converting ethanol to et</w:t>
      </w:r>
      <w:r w:rsidR="00C83DCC">
        <w:rPr>
          <w:lang w:val="en-GB"/>
        </w:rPr>
        <w:t>h</w:t>
      </w:r>
      <w:r w:rsidRPr="008D1575">
        <w:rPr>
          <w:lang w:val="en-GB"/>
        </w:rPr>
        <w:t xml:space="preserve">ylene and </w:t>
      </w:r>
      <w:r w:rsidR="0074410D" w:rsidRPr="008D1575">
        <w:rPr>
          <w:lang w:val="en-GB"/>
        </w:rPr>
        <w:t>diethyl ether</w:t>
      </w:r>
      <w:r w:rsidRPr="008D1575">
        <w:rPr>
          <w:lang w:val="en-GB"/>
        </w:rPr>
        <w:t xml:space="preserve"> respectively.</w:t>
      </w:r>
    </w:p>
    <w:p w14:paraId="6FCFFA5D" w14:textId="3F830DE6" w:rsidR="00C06341" w:rsidRPr="00B17EB0" w:rsidRDefault="002C6773" w:rsidP="002C6773">
      <w:pPr>
        <w:pStyle w:val="Nadpis2"/>
        <w:rPr>
          <w:rFonts w:asciiTheme="minorHAnsi" w:hAnsiTheme="minorHAnsi" w:cstheme="minorHAnsi"/>
          <w:color w:val="auto"/>
          <w:sz w:val="28"/>
          <w:szCs w:val="28"/>
          <w:u w:val="single"/>
        </w:rPr>
      </w:pPr>
      <w:r w:rsidRPr="00B17EB0">
        <w:rPr>
          <w:rFonts w:asciiTheme="minorHAnsi" w:hAnsiTheme="minorHAnsi" w:cstheme="minorHAnsi"/>
          <w:color w:val="auto"/>
          <w:sz w:val="28"/>
          <w:szCs w:val="28"/>
          <w:u w:val="single"/>
        </w:rPr>
        <w:t>References</w:t>
      </w:r>
    </w:p>
    <w:p w14:paraId="14B676BE" w14:textId="58FA66AB" w:rsidR="00860744" w:rsidRPr="00860744" w:rsidRDefault="00C06341" w:rsidP="00860744">
      <w:pPr>
        <w:widowControl w:val="0"/>
        <w:autoSpaceDE w:val="0"/>
        <w:autoSpaceDN w:val="0"/>
        <w:adjustRightInd w:val="0"/>
        <w:spacing w:line="240" w:lineRule="auto"/>
        <w:ind w:left="640" w:hanging="640"/>
        <w:rPr>
          <w:rFonts w:cstheme="minorHAnsi"/>
          <w:noProof/>
          <w:sz w:val="20"/>
          <w:szCs w:val="28"/>
        </w:rPr>
      </w:pPr>
      <w:r w:rsidRPr="002C6773">
        <w:rPr>
          <w:rFonts w:ascii="Cambria" w:hAnsi="Cambria" w:cs="Arial"/>
          <w:sz w:val="18"/>
          <w:szCs w:val="18"/>
        </w:rPr>
        <w:fldChar w:fldCharType="begin" w:fldLock="1"/>
      </w:r>
      <w:r w:rsidRPr="002C6773">
        <w:rPr>
          <w:rFonts w:ascii="Cambria" w:hAnsi="Cambria" w:cs="Arial"/>
          <w:sz w:val="18"/>
          <w:szCs w:val="18"/>
        </w:rPr>
        <w:instrText xml:space="preserve">ADDIN Mendeley Bibliography CSL_BIBLIOGRAPHY </w:instrText>
      </w:r>
      <w:r w:rsidRPr="002C6773">
        <w:rPr>
          <w:rFonts w:ascii="Cambria" w:hAnsi="Cambria" w:cs="Arial"/>
          <w:sz w:val="18"/>
          <w:szCs w:val="18"/>
        </w:rPr>
        <w:fldChar w:fldCharType="separate"/>
      </w:r>
      <w:r w:rsidR="00860744" w:rsidRPr="00860744">
        <w:rPr>
          <w:rFonts w:ascii="Cambria" w:hAnsi="Cambria" w:cs="Times New Roman"/>
          <w:noProof/>
          <w:sz w:val="18"/>
          <w:szCs w:val="24"/>
        </w:rPr>
        <w:t>1.</w:t>
      </w:r>
      <w:r w:rsidR="00860744" w:rsidRPr="00860744">
        <w:rPr>
          <w:rFonts w:ascii="Cambria" w:hAnsi="Cambria" w:cs="Times New Roman"/>
          <w:noProof/>
          <w:sz w:val="18"/>
          <w:szCs w:val="24"/>
        </w:rPr>
        <w:tab/>
      </w:r>
      <w:r w:rsidR="00860744" w:rsidRPr="00860744">
        <w:rPr>
          <w:rFonts w:cstheme="minorHAnsi"/>
          <w:noProof/>
          <w:sz w:val="20"/>
          <w:szCs w:val="28"/>
        </w:rPr>
        <w:t xml:space="preserve">Delmastro, A. </w:t>
      </w:r>
      <w:r w:rsidR="00860744" w:rsidRPr="00860744">
        <w:rPr>
          <w:rFonts w:cstheme="minorHAnsi"/>
          <w:i/>
          <w:iCs/>
          <w:noProof/>
          <w:sz w:val="20"/>
          <w:szCs w:val="28"/>
        </w:rPr>
        <w:t>et al.</w:t>
      </w:r>
      <w:r w:rsidR="00860744" w:rsidRPr="00860744">
        <w:rPr>
          <w:rFonts w:cstheme="minorHAnsi"/>
          <w:noProof/>
          <w:sz w:val="20"/>
          <w:szCs w:val="28"/>
        </w:rPr>
        <w:t xml:space="preserve"> Characterization of microporous amorphous alumina–boria. </w:t>
      </w:r>
      <w:r w:rsidR="00860744" w:rsidRPr="00860744">
        <w:rPr>
          <w:rFonts w:cstheme="minorHAnsi"/>
          <w:i/>
          <w:iCs/>
          <w:noProof/>
          <w:sz w:val="20"/>
          <w:szCs w:val="28"/>
        </w:rPr>
        <w:t>J. Chem. Soc. Faraday Trans.</w:t>
      </w:r>
      <w:r w:rsidR="00860744" w:rsidRPr="00860744">
        <w:rPr>
          <w:rFonts w:cstheme="minorHAnsi"/>
          <w:noProof/>
          <w:sz w:val="20"/>
          <w:szCs w:val="28"/>
        </w:rPr>
        <w:t xml:space="preserve"> </w:t>
      </w:r>
      <w:r w:rsidR="00860744" w:rsidRPr="00860744">
        <w:rPr>
          <w:rFonts w:cstheme="minorHAnsi"/>
          <w:b/>
          <w:bCs/>
          <w:noProof/>
          <w:sz w:val="20"/>
          <w:szCs w:val="28"/>
        </w:rPr>
        <w:t>88</w:t>
      </w:r>
      <w:r w:rsidR="00860744" w:rsidRPr="00860744">
        <w:rPr>
          <w:rFonts w:cstheme="minorHAnsi"/>
          <w:noProof/>
          <w:sz w:val="20"/>
          <w:szCs w:val="28"/>
        </w:rPr>
        <w:t>, 2065–2070 (1992).</w:t>
      </w:r>
    </w:p>
    <w:p w14:paraId="36F62566" w14:textId="77777777" w:rsidR="00860744" w:rsidRPr="00860744" w:rsidRDefault="00860744" w:rsidP="00860744">
      <w:pPr>
        <w:widowControl w:val="0"/>
        <w:autoSpaceDE w:val="0"/>
        <w:autoSpaceDN w:val="0"/>
        <w:adjustRightInd w:val="0"/>
        <w:spacing w:line="240" w:lineRule="auto"/>
        <w:ind w:left="640" w:hanging="640"/>
        <w:rPr>
          <w:rFonts w:cstheme="minorHAnsi"/>
          <w:noProof/>
          <w:sz w:val="20"/>
          <w:szCs w:val="28"/>
        </w:rPr>
      </w:pPr>
      <w:r w:rsidRPr="00860744">
        <w:rPr>
          <w:rFonts w:cstheme="minorHAnsi"/>
          <w:noProof/>
          <w:sz w:val="20"/>
          <w:szCs w:val="28"/>
        </w:rPr>
        <w:t>2.</w:t>
      </w:r>
      <w:r w:rsidRPr="00860744">
        <w:rPr>
          <w:rFonts w:cstheme="minorHAnsi"/>
          <w:noProof/>
          <w:sz w:val="20"/>
          <w:szCs w:val="28"/>
        </w:rPr>
        <w:tab/>
        <w:t xml:space="preserve">Flego, C. &amp; Parker, W. O. Characterization of γ-alumina and borated alumina catalysts. </w:t>
      </w:r>
      <w:r w:rsidRPr="00860744">
        <w:rPr>
          <w:rFonts w:cstheme="minorHAnsi"/>
          <w:i/>
          <w:iCs/>
          <w:noProof/>
          <w:sz w:val="20"/>
          <w:szCs w:val="28"/>
        </w:rPr>
        <w:t>Appl. Catal. A Gen.</w:t>
      </w:r>
      <w:r w:rsidRPr="00860744">
        <w:rPr>
          <w:rFonts w:cstheme="minorHAnsi"/>
          <w:noProof/>
          <w:sz w:val="20"/>
          <w:szCs w:val="28"/>
        </w:rPr>
        <w:t xml:space="preserve"> </w:t>
      </w:r>
      <w:r w:rsidRPr="00860744">
        <w:rPr>
          <w:rFonts w:cstheme="minorHAnsi"/>
          <w:b/>
          <w:bCs/>
          <w:noProof/>
          <w:sz w:val="20"/>
          <w:szCs w:val="28"/>
        </w:rPr>
        <w:t>185</w:t>
      </w:r>
      <w:r w:rsidRPr="00860744">
        <w:rPr>
          <w:rFonts w:cstheme="minorHAnsi"/>
          <w:noProof/>
          <w:sz w:val="20"/>
          <w:szCs w:val="28"/>
        </w:rPr>
        <w:t>, 137–152 (1999).</w:t>
      </w:r>
    </w:p>
    <w:p w14:paraId="1C0593BF" w14:textId="77777777" w:rsidR="00860744" w:rsidRPr="00860744" w:rsidRDefault="00860744" w:rsidP="00860744">
      <w:pPr>
        <w:widowControl w:val="0"/>
        <w:autoSpaceDE w:val="0"/>
        <w:autoSpaceDN w:val="0"/>
        <w:adjustRightInd w:val="0"/>
        <w:spacing w:line="240" w:lineRule="auto"/>
        <w:ind w:left="640" w:hanging="640"/>
        <w:rPr>
          <w:rFonts w:cstheme="minorHAnsi"/>
          <w:noProof/>
          <w:sz w:val="20"/>
          <w:szCs w:val="24"/>
        </w:rPr>
      </w:pPr>
      <w:r w:rsidRPr="00860744">
        <w:rPr>
          <w:rFonts w:cstheme="minorHAnsi"/>
          <w:noProof/>
          <w:sz w:val="20"/>
          <w:szCs w:val="28"/>
        </w:rPr>
        <w:t>3.</w:t>
      </w:r>
      <w:r w:rsidRPr="00860744">
        <w:rPr>
          <w:rFonts w:cstheme="minorHAnsi"/>
          <w:noProof/>
          <w:sz w:val="20"/>
          <w:szCs w:val="28"/>
        </w:rPr>
        <w:tab/>
        <w:t xml:space="preserve">Yang, W. </w:t>
      </w:r>
      <w:r w:rsidRPr="00860744">
        <w:rPr>
          <w:rFonts w:cstheme="minorHAnsi"/>
          <w:i/>
          <w:iCs/>
          <w:noProof/>
          <w:sz w:val="20"/>
          <w:szCs w:val="28"/>
        </w:rPr>
        <w:t>et al.</w:t>
      </w:r>
      <w:r w:rsidRPr="00860744">
        <w:rPr>
          <w:rFonts w:cstheme="minorHAnsi"/>
          <w:noProof/>
          <w:sz w:val="20"/>
          <w:szCs w:val="28"/>
        </w:rPr>
        <w:t xml:space="preserve"> Brønsted acid sites formation through penta-coordinated aluminum species on alumina-boria for phenylglyoxal conversion. </w:t>
      </w:r>
      <w:r w:rsidRPr="00860744">
        <w:rPr>
          <w:rFonts w:cstheme="minorHAnsi"/>
          <w:i/>
          <w:iCs/>
          <w:noProof/>
          <w:sz w:val="20"/>
          <w:szCs w:val="28"/>
        </w:rPr>
        <w:t>J. Catal.</w:t>
      </w:r>
      <w:r w:rsidRPr="00860744">
        <w:rPr>
          <w:rFonts w:cstheme="minorHAnsi"/>
          <w:noProof/>
          <w:sz w:val="20"/>
          <w:szCs w:val="28"/>
        </w:rPr>
        <w:t xml:space="preserve"> </w:t>
      </w:r>
      <w:r w:rsidRPr="00860744">
        <w:rPr>
          <w:rFonts w:cstheme="minorHAnsi"/>
          <w:b/>
          <w:bCs/>
          <w:noProof/>
          <w:sz w:val="20"/>
          <w:szCs w:val="28"/>
        </w:rPr>
        <w:t>416</w:t>
      </w:r>
      <w:r w:rsidRPr="00860744">
        <w:rPr>
          <w:rFonts w:cstheme="minorHAnsi"/>
          <w:noProof/>
          <w:sz w:val="20"/>
          <w:szCs w:val="28"/>
        </w:rPr>
        <w:t>, 375–386 (2022).</w:t>
      </w:r>
    </w:p>
    <w:p w14:paraId="76E6328F" w14:textId="0EA471F8" w:rsidR="00817DF6" w:rsidRPr="00FC22E5" w:rsidRDefault="00C06341" w:rsidP="00FC22E5">
      <w:pPr>
        <w:spacing w:line="240" w:lineRule="auto"/>
        <w:jc w:val="both"/>
        <w:rPr>
          <w:rFonts w:ascii="Cambria" w:hAnsi="Cambria" w:cs="Arial"/>
          <w:sz w:val="18"/>
          <w:szCs w:val="18"/>
        </w:rPr>
      </w:pPr>
      <w:r w:rsidRPr="002C6773">
        <w:rPr>
          <w:rFonts w:ascii="Cambria" w:hAnsi="Cambria" w:cs="Arial"/>
          <w:sz w:val="18"/>
          <w:szCs w:val="18"/>
        </w:rPr>
        <w:fldChar w:fldCharType="end"/>
      </w:r>
    </w:p>
    <w:sectPr w:rsidR="00817DF6" w:rsidRPr="00FC22E5" w:rsidSect="002C677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17E23" w14:textId="77777777" w:rsidR="006B74BB" w:rsidRDefault="006B74BB" w:rsidP="00CD169B">
      <w:pPr>
        <w:spacing w:after="0" w:line="240" w:lineRule="auto"/>
      </w:pPr>
      <w:r>
        <w:separator/>
      </w:r>
    </w:p>
  </w:endnote>
  <w:endnote w:type="continuationSeparator" w:id="0">
    <w:p w14:paraId="77C64D47" w14:textId="77777777" w:rsidR="006B74BB" w:rsidRDefault="006B74BB" w:rsidP="00CD1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649298"/>
      <w:docPartObj>
        <w:docPartGallery w:val="Page Numbers (Bottom of Page)"/>
        <w:docPartUnique/>
      </w:docPartObj>
    </w:sdtPr>
    <w:sdtEndPr>
      <w:rPr>
        <w:rFonts w:ascii="Arial" w:hAnsi="Arial" w:cs="Arial"/>
      </w:rPr>
    </w:sdtEndPr>
    <w:sdtContent>
      <w:p w14:paraId="0C025560" w14:textId="0ADF2877" w:rsidR="002C6773" w:rsidRPr="002C6773" w:rsidRDefault="002C6773">
        <w:pPr>
          <w:pStyle w:val="Zpat"/>
          <w:jc w:val="center"/>
          <w:rPr>
            <w:rFonts w:ascii="Arial" w:hAnsi="Arial" w:cs="Arial"/>
          </w:rPr>
        </w:pPr>
        <w:r w:rsidRPr="002C6773">
          <w:rPr>
            <w:rFonts w:ascii="Arial" w:hAnsi="Arial" w:cs="Arial"/>
          </w:rPr>
          <w:fldChar w:fldCharType="begin"/>
        </w:r>
        <w:r w:rsidRPr="002C6773">
          <w:rPr>
            <w:rFonts w:ascii="Arial" w:hAnsi="Arial" w:cs="Arial"/>
          </w:rPr>
          <w:instrText>PAGE   \* MERGEFORMAT</w:instrText>
        </w:r>
        <w:r w:rsidRPr="002C6773">
          <w:rPr>
            <w:rFonts w:ascii="Arial" w:hAnsi="Arial" w:cs="Arial"/>
          </w:rPr>
          <w:fldChar w:fldCharType="separate"/>
        </w:r>
        <w:r w:rsidRPr="002C6773">
          <w:rPr>
            <w:rFonts w:ascii="Arial" w:hAnsi="Arial" w:cs="Arial"/>
            <w:lang w:val="sk-SK"/>
          </w:rPr>
          <w:t>2</w:t>
        </w:r>
        <w:r w:rsidRPr="002C6773">
          <w:rPr>
            <w:rFonts w:ascii="Arial" w:hAnsi="Arial" w:cs="Arial"/>
          </w:rPr>
          <w:fldChar w:fldCharType="end"/>
        </w:r>
      </w:p>
    </w:sdtContent>
  </w:sdt>
  <w:p w14:paraId="33C85683" w14:textId="77777777" w:rsidR="002C6773" w:rsidRDefault="002C677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E7CEF" w14:textId="77777777" w:rsidR="006B74BB" w:rsidRDefault="006B74BB" w:rsidP="00CD169B">
      <w:pPr>
        <w:spacing w:after="0" w:line="240" w:lineRule="auto"/>
      </w:pPr>
      <w:r>
        <w:separator/>
      </w:r>
    </w:p>
  </w:footnote>
  <w:footnote w:type="continuationSeparator" w:id="0">
    <w:p w14:paraId="6F605185" w14:textId="77777777" w:rsidR="006B74BB" w:rsidRDefault="006B74BB" w:rsidP="00CD16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Ews7QwNjcwNzY0NjZR0lEKTi0uzszPAykwqwUAPBlPtSwAAAA="/>
  </w:docVars>
  <w:rsids>
    <w:rsidRoot w:val="00013AF6"/>
    <w:rsid w:val="00013359"/>
    <w:rsid w:val="00013AF6"/>
    <w:rsid w:val="00072392"/>
    <w:rsid w:val="000759BB"/>
    <w:rsid w:val="000C4F9E"/>
    <w:rsid w:val="000D1187"/>
    <w:rsid w:val="001C2B29"/>
    <w:rsid w:val="00204CAF"/>
    <w:rsid w:val="00240D92"/>
    <w:rsid w:val="002C6773"/>
    <w:rsid w:val="003143C8"/>
    <w:rsid w:val="00356C5A"/>
    <w:rsid w:val="003923DC"/>
    <w:rsid w:val="00472008"/>
    <w:rsid w:val="004F1B05"/>
    <w:rsid w:val="00577747"/>
    <w:rsid w:val="005E1B56"/>
    <w:rsid w:val="005E47A5"/>
    <w:rsid w:val="00650636"/>
    <w:rsid w:val="006B74BB"/>
    <w:rsid w:val="006C3FC1"/>
    <w:rsid w:val="0074410D"/>
    <w:rsid w:val="00796A53"/>
    <w:rsid w:val="00817DF6"/>
    <w:rsid w:val="00831777"/>
    <w:rsid w:val="00842FBF"/>
    <w:rsid w:val="00844D95"/>
    <w:rsid w:val="00860744"/>
    <w:rsid w:val="008D1575"/>
    <w:rsid w:val="009301CB"/>
    <w:rsid w:val="00944F0C"/>
    <w:rsid w:val="00963CAB"/>
    <w:rsid w:val="00977FD1"/>
    <w:rsid w:val="00983CE8"/>
    <w:rsid w:val="00A873F8"/>
    <w:rsid w:val="00B17EB0"/>
    <w:rsid w:val="00B24265"/>
    <w:rsid w:val="00B903FC"/>
    <w:rsid w:val="00BB5550"/>
    <w:rsid w:val="00BF7CC2"/>
    <w:rsid w:val="00C06341"/>
    <w:rsid w:val="00C1027E"/>
    <w:rsid w:val="00C83DCC"/>
    <w:rsid w:val="00CD169B"/>
    <w:rsid w:val="00D20DE3"/>
    <w:rsid w:val="00D769E7"/>
    <w:rsid w:val="00D902C9"/>
    <w:rsid w:val="00D92F89"/>
    <w:rsid w:val="00DC37A9"/>
    <w:rsid w:val="00DD50AC"/>
    <w:rsid w:val="00DF3F9E"/>
    <w:rsid w:val="00E64BFD"/>
    <w:rsid w:val="00E92F29"/>
    <w:rsid w:val="00F532C8"/>
    <w:rsid w:val="00F575A5"/>
    <w:rsid w:val="00FC22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9EDDE"/>
  <w15:chartTrackingRefBased/>
  <w15:docId w15:val="{7BC87F94-D45D-460F-AF3C-3ADC4F2D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cs-CZ"/>
    </w:rPr>
  </w:style>
  <w:style w:type="paragraph" w:styleId="Nadpis1">
    <w:name w:val="heading 1"/>
    <w:basedOn w:val="Normln"/>
    <w:next w:val="Normln"/>
    <w:link w:val="Nadpis1Char"/>
    <w:uiPriority w:val="9"/>
    <w:qFormat/>
    <w:rsid w:val="00013A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013A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3AF6"/>
    <w:rPr>
      <w:rFonts w:asciiTheme="majorHAnsi" w:eastAsiaTheme="majorEastAsia" w:hAnsiTheme="majorHAnsi" w:cstheme="majorBidi"/>
      <w:color w:val="2F5496" w:themeColor="accent1" w:themeShade="BF"/>
      <w:sz w:val="32"/>
      <w:szCs w:val="32"/>
      <w:lang w:val="cs-CZ"/>
    </w:rPr>
  </w:style>
  <w:style w:type="character" w:customStyle="1" w:styleId="Nadpis2Char">
    <w:name w:val="Nadpis 2 Char"/>
    <w:basedOn w:val="Standardnpsmoodstavce"/>
    <w:link w:val="Nadpis2"/>
    <w:uiPriority w:val="9"/>
    <w:rsid w:val="00013AF6"/>
    <w:rPr>
      <w:rFonts w:asciiTheme="majorHAnsi" w:eastAsiaTheme="majorEastAsia" w:hAnsiTheme="majorHAnsi" w:cstheme="majorBidi"/>
      <w:color w:val="2F5496" w:themeColor="accent1" w:themeShade="BF"/>
      <w:sz w:val="26"/>
      <w:szCs w:val="26"/>
      <w:lang w:val="cs-CZ"/>
    </w:rPr>
  </w:style>
  <w:style w:type="paragraph" w:styleId="Zhlav">
    <w:name w:val="header"/>
    <w:basedOn w:val="Normln"/>
    <w:link w:val="ZhlavChar"/>
    <w:uiPriority w:val="99"/>
    <w:unhideWhenUsed/>
    <w:rsid w:val="00CD16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169B"/>
    <w:rPr>
      <w:lang w:val="cs-CZ"/>
    </w:rPr>
  </w:style>
  <w:style w:type="paragraph" w:styleId="Zpat">
    <w:name w:val="footer"/>
    <w:basedOn w:val="Normln"/>
    <w:link w:val="ZpatChar"/>
    <w:uiPriority w:val="99"/>
    <w:unhideWhenUsed/>
    <w:rsid w:val="00CD169B"/>
    <w:pPr>
      <w:tabs>
        <w:tab w:val="center" w:pos="4536"/>
        <w:tab w:val="right" w:pos="9072"/>
      </w:tabs>
      <w:spacing w:after="0" w:line="240" w:lineRule="auto"/>
    </w:pPr>
  </w:style>
  <w:style w:type="character" w:customStyle="1" w:styleId="ZpatChar">
    <w:name w:val="Zápatí Char"/>
    <w:basedOn w:val="Standardnpsmoodstavce"/>
    <w:link w:val="Zpat"/>
    <w:uiPriority w:val="99"/>
    <w:rsid w:val="00CD169B"/>
    <w:rPr>
      <w:lang w:val="cs-CZ"/>
    </w:rPr>
  </w:style>
  <w:style w:type="paragraph" w:customStyle="1" w:styleId="3-author">
    <w:name w:val="3-author"/>
    <w:basedOn w:val="Normln"/>
    <w:rsid w:val="00CD169B"/>
    <w:pPr>
      <w:spacing w:after="0" w:line="240" w:lineRule="auto"/>
      <w:jc w:val="center"/>
    </w:pPr>
    <w:rPr>
      <w:rFonts w:ascii="Arial" w:eastAsia="Calibri" w:hAnsi="Arial" w:cs="Arial"/>
      <w:b/>
      <w:sz w:val="18"/>
      <w:szCs w:val="20"/>
      <w:lang w:val="en-GB"/>
    </w:rPr>
  </w:style>
  <w:style w:type="character" w:styleId="Odkaznakoment">
    <w:name w:val="annotation reference"/>
    <w:basedOn w:val="Standardnpsmoodstavce"/>
    <w:uiPriority w:val="99"/>
    <w:semiHidden/>
    <w:unhideWhenUsed/>
    <w:rsid w:val="00CD169B"/>
    <w:rPr>
      <w:sz w:val="16"/>
      <w:szCs w:val="16"/>
    </w:rPr>
  </w:style>
  <w:style w:type="paragraph" w:styleId="Textkomente">
    <w:name w:val="annotation text"/>
    <w:basedOn w:val="Normln"/>
    <w:link w:val="TextkomenteChar"/>
    <w:uiPriority w:val="99"/>
    <w:semiHidden/>
    <w:unhideWhenUsed/>
    <w:rsid w:val="00CD169B"/>
    <w:pPr>
      <w:spacing w:after="0" w:line="240" w:lineRule="auto"/>
      <w:jc w:val="both"/>
    </w:pPr>
    <w:rPr>
      <w:rFonts w:ascii="Times New Roman" w:eastAsia="Times New Roman" w:hAnsi="Times New Roman" w:cs="Times New Roman"/>
      <w:sz w:val="20"/>
      <w:szCs w:val="20"/>
      <w:lang w:val="en-GB"/>
    </w:rPr>
  </w:style>
  <w:style w:type="character" w:customStyle="1" w:styleId="TextkomenteChar">
    <w:name w:val="Text komentáře Char"/>
    <w:basedOn w:val="Standardnpsmoodstavce"/>
    <w:link w:val="Textkomente"/>
    <w:uiPriority w:val="99"/>
    <w:semiHidden/>
    <w:rsid w:val="00CD169B"/>
    <w:rPr>
      <w:rFonts w:ascii="Times New Roman" w:eastAsia="Times New Roman" w:hAnsi="Times New Roman" w:cs="Times New Roman"/>
      <w:sz w:val="20"/>
      <w:szCs w:val="20"/>
      <w:lang w:val="en-GB"/>
    </w:rPr>
  </w:style>
  <w:style w:type="character" w:styleId="Hypertextovodkaz">
    <w:name w:val="Hyperlink"/>
    <w:basedOn w:val="Standardnpsmoodstavce"/>
    <w:uiPriority w:val="99"/>
    <w:unhideWhenUsed/>
    <w:rsid w:val="003923DC"/>
    <w:rPr>
      <w:color w:val="0563C1" w:themeColor="hyperlink"/>
      <w:u w:val="single"/>
    </w:rPr>
  </w:style>
  <w:style w:type="character" w:customStyle="1" w:styleId="UnresolvedMention">
    <w:name w:val="Unresolved Mention"/>
    <w:basedOn w:val="Standardnpsmoodstavce"/>
    <w:uiPriority w:val="99"/>
    <w:semiHidden/>
    <w:unhideWhenUsed/>
    <w:rsid w:val="00392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128103">
      <w:bodyDiv w:val="1"/>
      <w:marLeft w:val="0"/>
      <w:marRight w:val="0"/>
      <w:marTop w:val="0"/>
      <w:marBottom w:val="0"/>
      <w:divBdr>
        <w:top w:val="none" w:sz="0" w:space="0" w:color="auto"/>
        <w:left w:val="none" w:sz="0" w:space="0" w:color="auto"/>
        <w:bottom w:val="none" w:sz="0" w:space="0" w:color="auto"/>
        <w:right w:val="none" w:sz="0" w:space="0" w:color="auto"/>
      </w:divBdr>
    </w:div>
    <w:div w:id="1181162966">
      <w:bodyDiv w:val="1"/>
      <w:marLeft w:val="0"/>
      <w:marRight w:val="0"/>
      <w:marTop w:val="0"/>
      <w:marBottom w:val="0"/>
      <w:divBdr>
        <w:top w:val="none" w:sz="0" w:space="0" w:color="auto"/>
        <w:left w:val="none" w:sz="0" w:space="0" w:color="auto"/>
        <w:bottom w:val="none" w:sz="0" w:space="0" w:color="auto"/>
        <w:right w:val="none" w:sz="0" w:space="0" w:color="auto"/>
      </w:divBdr>
    </w:div>
    <w:div w:id="1663192468">
      <w:bodyDiv w:val="1"/>
      <w:marLeft w:val="0"/>
      <w:marRight w:val="0"/>
      <w:marTop w:val="0"/>
      <w:marBottom w:val="0"/>
      <w:divBdr>
        <w:top w:val="none" w:sz="0" w:space="0" w:color="auto"/>
        <w:left w:val="none" w:sz="0" w:space="0" w:color="auto"/>
        <w:bottom w:val="none" w:sz="0" w:space="0" w:color="auto"/>
        <w:right w:val="none" w:sz="0" w:space="0" w:color="auto"/>
      </w:divBdr>
    </w:div>
    <w:div w:id="1710228731">
      <w:bodyDiv w:val="1"/>
      <w:marLeft w:val="0"/>
      <w:marRight w:val="0"/>
      <w:marTop w:val="0"/>
      <w:marBottom w:val="0"/>
      <w:divBdr>
        <w:top w:val="none" w:sz="0" w:space="0" w:color="auto"/>
        <w:left w:val="none" w:sz="0" w:space="0" w:color="auto"/>
        <w:bottom w:val="none" w:sz="0" w:space="0" w:color="auto"/>
        <w:right w:val="none" w:sz="0" w:space="0" w:color="auto"/>
      </w:divBdr>
    </w:div>
    <w:div w:id="180731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460872@mail.muni.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4062A-EAAF-409C-94D3-F8CDC5FD1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1254</Words>
  <Characters>7867</Characters>
  <Application>Microsoft Office Word</Application>
  <DocSecurity>0</DocSecurity>
  <Lines>133</Lines>
  <Paragraphs>60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Mlynek</dc:creator>
  <cp:keywords/>
  <dc:description/>
  <cp:lastModifiedBy>Jiří Pinkas</cp:lastModifiedBy>
  <cp:revision>2</cp:revision>
  <dcterms:created xsi:type="dcterms:W3CDTF">2023-06-01T08:22:00Z</dcterms:created>
  <dcterms:modified xsi:type="dcterms:W3CDTF">2023-06-01T08:22:00Z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2d7b57ec-6ae3-3ab1-976e-97d3f222595d</vt:lpwstr>
  </property>
  <property fmtid="{D5CDD505-2E9C-101B-9397-08002B2CF9AE}" pid="24" name="Mendeley Citation Style_1">
    <vt:lpwstr>http://www.zotero.org/styles/nature</vt:lpwstr>
  </property>
  <property fmtid="{D5CDD505-2E9C-101B-9397-08002B2CF9AE}" pid="25" name="GrammarlyDocumentId">
    <vt:lpwstr>d2ad7c86941aa7a2ef60b8e5a73b7acd11a81af156cdac2aaa83458ae39d6ccb</vt:lpwstr>
  </property>
</Properties>
</file>