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F7D49" w14:textId="68A383B1" w:rsidR="002D3CCC" w:rsidRPr="00F77908" w:rsidRDefault="004F2BFC" w:rsidP="00BE4341">
      <w:pPr>
        <w:spacing w:after="120" w:line="360" w:lineRule="auto"/>
        <w:rPr>
          <w:rFonts w:ascii="Arial" w:hAnsi="Arial" w:cs="Arial"/>
          <w:b/>
          <w:bCs/>
          <w:caps/>
          <w:sz w:val="28"/>
          <w:szCs w:val="28"/>
          <w:lang w:val="en-US"/>
        </w:rPr>
      </w:pPr>
      <w:bookmarkStart w:id="0" w:name="_GoBack"/>
      <w:r>
        <w:rPr>
          <w:rFonts w:ascii="Arial" w:hAnsi="Arial" w:cs="Arial"/>
          <w:b/>
          <w:bCs/>
          <w:caps/>
          <w:sz w:val="28"/>
          <w:szCs w:val="28"/>
          <w:lang w:val="en-US"/>
        </w:rPr>
        <w:t>single-cell and high-resolution analysis of elements in cells and tissue cultures using la-icp-ms</w:t>
      </w:r>
      <w:bookmarkEnd w:id="0"/>
    </w:p>
    <w:p w14:paraId="76E64FAE" w14:textId="7CBC5EE8" w:rsidR="00471D9C" w:rsidRPr="00F77908" w:rsidRDefault="00471D9C" w:rsidP="00471D9C">
      <w:pPr>
        <w:spacing w:after="0" w:line="360" w:lineRule="auto"/>
        <w:rPr>
          <w:rFonts w:ascii="Arial" w:hAnsi="Arial" w:cs="Arial"/>
          <w:sz w:val="24"/>
          <w:szCs w:val="24"/>
          <w:lang w:val="en-US"/>
        </w:rPr>
      </w:pPr>
      <w:r w:rsidRPr="00F77908">
        <w:rPr>
          <w:rFonts w:ascii="Arial" w:hAnsi="Arial" w:cs="Arial"/>
          <w:sz w:val="24"/>
          <w:szCs w:val="24"/>
          <w:lang w:val="en-US"/>
        </w:rPr>
        <w:t>Aut</w:t>
      </w:r>
      <w:r w:rsidR="007E39AD" w:rsidRPr="00F77908">
        <w:rPr>
          <w:rFonts w:ascii="Arial" w:hAnsi="Arial" w:cs="Arial"/>
          <w:sz w:val="24"/>
          <w:szCs w:val="24"/>
          <w:lang w:val="en-US"/>
        </w:rPr>
        <w:t>h</w:t>
      </w:r>
      <w:r w:rsidRPr="00F77908">
        <w:rPr>
          <w:rFonts w:ascii="Arial" w:hAnsi="Arial" w:cs="Arial"/>
          <w:sz w:val="24"/>
          <w:szCs w:val="24"/>
          <w:lang w:val="en-US"/>
        </w:rPr>
        <w:t>or</w:t>
      </w:r>
      <w:r w:rsidR="007068D0">
        <w:rPr>
          <w:rFonts w:ascii="Arial" w:hAnsi="Arial" w:cs="Arial"/>
          <w:sz w:val="24"/>
          <w:szCs w:val="24"/>
          <w:lang w:val="en-US"/>
        </w:rPr>
        <w:t>s</w:t>
      </w:r>
      <w:r w:rsidRPr="00F77908">
        <w:rPr>
          <w:rFonts w:ascii="Arial" w:hAnsi="Arial" w:cs="Arial"/>
          <w:sz w:val="24"/>
          <w:szCs w:val="24"/>
          <w:lang w:val="en-US"/>
        </w:rPr>
        <w:t xml:space="preserve">: </w:t>
      </w:r>
      <w:r w:rsidR="004F2BFC">
        <w:rPr>
          <w:rFonts w:ascii="Arial" w:hAnsi="Arial" w:cs="Arial"/>
          <w:sz w:val="24"/>
          <w:szCs w:val="24"/>
          <w:u w:val="single"/>
          <w:lang w:val="en-US"/>
        </w:rPr>
        <w:t>Markéta Vejvodová</w:t>
      </w:r>
      <w:r w:rsidRPr="007F13CB">
        <w:rPr>
          <w:rFonts w:ascii="Arial" w:hAnsi="Arial" w:cs="Arial"/>
          <w:sz w:val="24"/>
          <w:szCs w:val="24"/>
          <w:u w:val="single"/>
          <w:vertAlign w:val="superscript"/>
          <w:lang w:val="en-US"/>
        </w:rPr>
        <w:t>1</w:t>
      </w:r>
      <w:r w:rsidRPr="00F77908">
        <w:rPr>
          <w:rFonts w:ascii="Arial" w:hAnsi="Arial" w:cs="Arial"/>
          <w:sz w:val="24"/>
          <w:szCs w:val="24"/>
          <w:lang w:val="en-US"/>
        </w:rPr>
        <w:t xml:space="preserve">, </w:t>
      </w:r>
      <w:r w:rsidR="004F2BFC" w:rsidRPr="004F2BFC">
        <w:rPr>
          <w:rFonts w:ascii="Arial" w:hAnsi="Arial" w:cs="Arial"/>
          <w:sz w:val="24"/>
          <w:szCs w:val="24"/>
          <w:lang w:val="en-US"/>
        </w:rPr>
        <w:t>Polina Nadtochaeva</w:t>
      </w:r>
      <w:r w:rsidR="004F2BFC" w:rsidRPr="004F2BFC">
        <w:rPr>
          <w:rFonts w:ascii="Arial" w:hAnsi="Arial" w:cs="Arial"/>
          <w:sz w:val="24"/>
          <w:szCs w:val="24"/>
          <w:vertAlign w:val="superscript"/>
          <w:lang w:val="en-US"/>
        </w:rPr>
        <w:t>2</w:t>
      </w:r>
      <w:r w:rsidR="004F2BFC" w:rsidRPr="004F2BFC">
        <w:rPr>
          <w:rFonts w:ascii="Arial" w:hAnsi="Arial" w:cs="Arial"/>
          <w:sz w:val="24"/>
          <w:szCs w:val="24"/>
          <w:lang w:val="en-US"/>
        </w:rPr>
        <w:t>, Michael Killinger</w:t>
      </w:r>
      <w:r w:rsidR="004F2BFC" w:rsidRPr="004F2BFC">
        <w:rPr>
          <w:rFonts w:ascii="Arial" w:hAnsi="Arial" w:cs="Arial"/>
          <w:sz w:val="24"/>
          <w:szCs w:val="24"/>
          <w:vertAlign w:val="superscript"/>
          <w:lang w:val="en-US"/>
        </w:rPr>
        <w:t>1,3</w:t>
      </w:r>
      <w:r w:rsidR="004F2BFC" w:rsidRPr="004F2BFC">
        <w:rPr>
          <w:rFonts w:ascii="Arial" w:hAnsi="Arial" w:cs="Arial"/>
          <w:sz w:val="24"/>
          <w:szCs w:val="24"/>
          <w:lang w:val="en-US"/>
        </w:rPr>
        <w:t>, Tomáš Vaculovič</w:t>
      </w:r>
      <w:r w:rsidR="004F2BFC" w:rsidRPr="004F2BFC">
        <w:rPr>
          <w:rFonts w:ascii="Arial" w:hAnsi="Arial" w:cs="Arial"/>
          <w:sz w:val="24"/>
          <w:szCs w:val="24"/>
          <w:vertAlign w:val="superscript"/>
          <w:lang w:val="en-US"/>
        </w:rPr>
        <w:t>1</w:t>
      </w:r>
      <w:r w:rsidR="004F2BFC" w:rsidRPr="004F2BFC">
        <w:rPr>
          <w:rFonts w:ascii="Arial" w:hAnsi="Arial" w:cs="Arial"/>
          <w:sz w:val="24"/>
          <w:szCs w:val="24"/>
          <w:lang w:val="en-US"/>
        </w:rPr>
        <w:t xml:space="preserve">, Monika </w:t>
      </w:r>
      <w:proofErr w:type="spellStart"/>
      <w:r w:rsidR="004F2BFC" w:rsidRPr="004F2BFC">
        <w:rPr>
          <w:rFonts w:ascii="Arial" w:hAnsi="Arial" w:cs="Arial"/>
          <w:sz w:val="24"/>
          <w:szCs w:val="24"/>
          <w:lang w:val="en-US"/>
        </w:rPr>
        <w:t>Pávková</w:t>
      </w:r>
      <w:proofErr w:type="spellEnd"/>
      <w:r w:rsidR="004F2BFC" w:rsidRPr="004F2BFC">
        <w:rPr>
          <w:rFonts w:ascii="Arial" w:hAnsi="Arial" w:cs="Arial"/>
          <w:sz w:val="24"/>
          <w:szCs w:val="24"/>
          <w:lang w:val="en-US"/>
        </w:rPr>
        <w:t xml:space="preserve"> Goldbergová</w:t>
      </w:r>
      <w:r w:rsidR="004F2BFC" w:rsidRPr="004F2BFC">
        <w:rPr>
          <w:rFonts w:ascii="Arial" w:hAnsi="Arial" w:cs="Arial"/>
          <w:sz w:val="24"/>
          <w:szCs w:val="24"/>
          <w:vertAlign w:val="superscript"/>
          <w:lang w:val="en-US"/>
        </w:rPr>
        <w:t>2</w:t>
      </w:r>
      <w:r w:rsidR="004F2BFC" w:rsidRPr="004F2BFC">
        <w:rPr>
          <w:rFonts w:ascii="Arial" w:hAnsi="Arial" w:cs="Arial"/>
          <w:sz w:val="24"/>
          <w:szCs w:val="24"/>
          <w:lang w:val="en-US"/>
        </w:rPr>
        <w:t xml:space="preserve"> and Viktor Kanický</w:t>
      </w:r>
      <w:r w:rsidR="004F2BFC" w:rsidRPr="00294659">
        <w:rPr>
          <w:rFonts w:ascii="Arial" w:hAnsi="Arial" w:cs="Arial"/>
          <w:sz w:val="24"/>
          <w:szCs w:val="24"/>
          <w:vertAlign w:val="superscript"/>
          <w:lang w:val="en-US"/>
        </w:rPr>
        <w:t>1</w:t>
      </w:r>
      <w:r w:rsidR="00294659">
        <w:rPr>
          <w:rFonts w:ascii="Arial" w:hAnsi="Arial" w:cs="Arial"/>
          <w:sz w:val="24"/>
          <w:szCs w:val="24"/>
          <w:vertAlign w:val="superscript"/>
          <w:lang w:val="en-US"/>
        </w:rPr>
        <w:t>,</w:t>
      </w:r>
      <w:r w:rsidRPr="00F77908">
        <w:rPr>
          <w:rFonts w:ascii="Arial" w:hAnsi="Arial" w:cs="Arial"/>
          <w:sz w:val="24"/>
          <w:szCs w:val="24"/>
          <w:vertAlign w:val="superscript"/>
          <w:lang w:val="en-US"/>
        </w:rPr>
        <w:t>2</w:t>
      </w:r>
    </w:p>
    <w:p w14:paraId="3481C36F" w14:textId="2AA208F0" w:rsidR="004F2BFC" w:rsidRPr="004F2BFC" w:rsidRDefault="00471D9C" w:rsidP="004F2BFC">
      <w:pPr>
        <w:spacing w:after="0" w:line="360" w:lineRule="auto"/>
        <w:rPr>
          <w:rFonts w:ascii="Arial" w:hAnsi="Arial" w:cs="Arial"/>
          <w:i/>
          <w:iCs/>
          <w:lang w:val="en-US"/>
        </w:rPr>
      </w:pPr>
      <w:r w:rsidRPr="00F77908">
        <w:rPr>
          <w:rFonts w:ascii="Arial" w:hAnsi="Arial" w:cs="Arial"/>
          <w:i/>
          <w:iCs/>
          <w:vertAlign w:val="superscript"/>
          <w:lang w:val="en-US"/>
        </w:rPr>
        <w:t>1</w:t>
      </w:r>
      <w:r w:rsidR="004F2BFC" w:rsidRPr="004F2BFC">
        <w:rPr>
          <w:rFonts w:ascii="Arial" w:hAnsi="Arial" w:cs="Arial"/>
          <w:i/>
          <w:iCs/>
          <w:lang w:val="en-US"/>
        </w:rPr>
        <w:t>Department of Chemistry, Faculty of Science, Masaryk University</w:t>
      </w:r>
    </w:p>
    <w:p w14:paraId="71334C31" w14:textId="3B071238" w:rsidR="004F2BFC" w:rsidRPr="004F2BFC" w:rsidRDefault="004F2BFC" w:rsidP="004F2BFC">
      <w:pPr>
        <w:spacing w:after="0" w:line="360" w:lineRule="auto"/>
        <w:rPr>
          <w:rFonts w:ascii="Arial" w:hAnsi="Arial" w:cs="Arial"/>
          <w:i/>
          <w:iCs/>
          <w:lang w:val="en-US"/>
        </w:rPr>
      </w:pPr>
      <w:r w:rsidRPr="004F2BFC">
        <w:rPr>
          <w:rFonts w:ascii="Arial" w:hAnsi="Arial" w:cs="Arial"/>
          <w:i/>
          <w:iCs/>
          <w:vertAlign w:val="superscript"/>
          <w:lang w:val="en-US"/>
        </w:rPr>
        <w:t>2</w:t>
      </w:r>
      <w:r w:rsidRPr="004F2BFC">
        <w:rPr>
          <w:rFonts w:ascii="Arial" w:hAnsi="Arial" w:cs="Arial"/>
          <w:i/>
          <w:iCs/>
          <w:lang w:val="en-US"/>
        </w:rPr>
        <w:t>Department of Pathological Physiology, Faculty of Medicine, Masaryk University</w:t>
      </w:r>
    </w:p>
    <w:p w14:paraId="21C94690" w14:textId="009CFD9B" w:rsidR="004F2BFC" w:rsidRDefault="004F2BFC" w:rsidP="004F2BFC">
      <w:pPr>
        <w:spacing w:after="0" w:line="360" w:lineRule="auto"/>
        <w:rPr>
          <w:rFonts w:ascii="Arial" w:hAnsi="Arial" w:cs="Arial"/>
          <w:i/>
          <w:iCs/>
          <w:lang w:val="en-US"/>
        </w:rPr>
      </w:pPr>
      <w:r w:rsidRPr="004F2BFC">
        <w:rPr>
          <w:rFonts w:ascii="Arial" w:hAnsi="Arial" w:cs="Arial"/>
          <w:i/>
          <w:iCs/>
          <w:vertAlign w:val="superscript"/>
          <w:lang w:val="en-US"/>
        </w:rPr>
        <w:t>3</w:t>
      </w:r>
      <w:r w:rsidRPr="004F2BFC">
        <w:rPr>
          <w:rFonts w:ascii="Arial" w:hAnsi="Arial" w:cs="Arial"/>
          <w:i/>
          <w:iCs/>
          <w:lang w:val="en-US"/>
        </w:rPr>
        <w:t>Institute of Analytical Chemistry, Czech Academy of Sciences</w:t>
      </w:r>
      <w:r>
        <w:rPr>
          <w:rFonts w:ascii="Arial" w:hAnsi="Arial" w:cs="Arial"/>
          <w:i/>
          <w:iCs/>
          <w:lang w:val="en-US"/>
        </w:rPr>
        <w:t xml:space="preserve"> </w:t>
      </w:r>
    </w:p>
    <w:p w14:paraId="68A73031" w14:textId="77777777" w:rsidR="004F2BFC" w:rsidRDefault="00DF574B" w:rsidP="00153906">
      <w:pPr>
        <w:spacing w:after="240" w:line="360" w:lineRule="auto"/>
        <w:rPr>
          <w:rFonts w:ascii="Arial" w:hAnsi="Arial" w:cs="Arial"/>
          <w:i/>
          <w:iCs/>
          <w:lang w:val="en-US"/>
        </w:rPr>
      </w:pPr>
      <w:r w:rsidRPr="00F77908">
        <w:rPr>
          <w:rFonts w:ascii="Arial" w:hAnsi="Arial" w:cs="Arial"/>
          <w:i/>
          <w:iCs/>
          <w:lang w:val="en-US"/>
        </w:rPr>
        <w:t xml:space="preserve">e-mail: </w:t>
      </w:r>
      <w:hyperlink r:id="rId5" w:history="1">
        <w:r w:rsidR="004F2BFC" w:rsidRPr="00A46A53">
          <w:rPr>
            <w:rStyle w:val="Hypertextovodkaz"/>
            <w:rFonts w:ascii="Arial" w:hAnsi="Arial" w:cs="Arial"/>
            <w:i/>
            <w:iCs/>
            <w:lang w:val="en-US"/>
          </w:rPr>
          <w:t>474005@muni.cz</w:t>
        </w:r>
      </w:hyperlink>
    </w:p>
    <w:p w14:paraId="385C34E1" w14:textId="46B7905C" w:rsidR="004903B5" w:rsidRPr="00015908" w:rsidRDefault="00E6572F" w:rsidP="00153906">
      <w:pPr>
        <w:spacing w:after="240" w:line="360" w:lineRule="auto"/>
        <w:rPr>
          <w:rFonts w:ascii="Arial" w:hAnsi="Arial" w:cs="Arial"/>
          <w:lang w:val="en-US"/>
        </w:rPr>
      </w:pPr>
      <w:r w:rsidRPr="005379FA">
        <w:rPr>
          <w:rFonts w:ascii="Arial" w:hAnsi="Arial" w:cs="Arial"/>
          <w:b/>
          <w:bCs/>
          <w:lang w:val="en-US"/>
        </w:rPr>
        <w:t xml:space="preserve">Key </w:t>
      </w:r>
      <w:r w:rsidR="00A968E4" w:rsidRPr="005379FA">
        <w:rPr>
          <w:rFonts w:ascii="Arial" w:hAnsi="Arial" w:cs="Arial"/>
          <w:b/>
          <w:bCs/>
          <w:lang w:val="en-US"/>
        </w:rPr>
        <w:t>words</w:t>
      </w:r>
      <w:r w:rsidR="00A968E4">
        <w:rPr>
          <w:rFonts w:ascii="Arial" w:hAnsi="Arial" w:cs="Arial"/>
          <w:lang w:val="en-US"/>
        </w:rPr>
        <w:t>:</w:t>
      </w:r>
      <w:r w:rsidR="00B83506">
        <w:rPr>
          <w:rFonts w:ascii="Arial" w:hAnsi="Arial" w:cs="Arial"/>
          <w:lang w:val="en-US"/>
        </w:rPr>
        <w:t xml:space="preserve"> </w:t>
      </w:r>
      <w:r w:rsidR="004F2BFC" w:rsidRPr="004F2BFC">
        <w:rPr>
          <w:rFonts w:ascii="Arial" w:hAnsi="Arial" w:cs="Arial"/>
          <w:lang w:val="en-US"/>
        </w:rPr>
        <w:t xml:space="preserve">Single-cell analysis, bioimaging, LA-ICP-MS, High-resolution analysis </w:t>
      </w:r>
    </w:p>
    <w:p w14:paraId="25159144" w14:textId="3C2D1C89" w:rsidR="004F2BFC" w:rsidRPr="004F2BFC" w:rsidRDefault="004F2BFC" w:rsidP="00A20D2A">
      <w:pPr>
        <w:spacing w:after="0" w:line="360" w:lineRule="auto"/>
        <w:ind w:firstLine="708"/>
        <w:jc w:val="both"/>
        <w:rPr>
          <w:rFonts w:ascii="Arial" w:hAnsi="Arial" w:cs="Arial"/>
          <w:lang w:val="en-US"/>
        </w:rPr>
      </w:pPr>
      <w:r w:rsidRPr="004F2BFC">
        <w:rPr>
          <w:rFonts w:ascii="Arial" w:hAnsi="Arial" w:cs="Arial"/>
          <w:lang w:val="en-US"/>
        </w:rPr>
        <w:t>Nickel (Ni) and titanium (</w:t>
      </w:r>
      <w:proofErr w:type="spellStart"/>
      <w:r w:rsidRPr="004F2BFC">
        <w:rPr>
          <w:rFonts w:ascii="Arial" w:hAnsi="Arial" w:cs="Arial"/>
          <w:lang w:val="en-US"/>
        </w:rPr>
        <w:t>Ti</w:t>
      </w:r>
      <w:proofErr w:type="spellEnd"/>
      <w:r w:rsidRPr="004F2BFC">
        <w:rPr>
          <w:rFonts w:ascii="Arial" w:hAnsi="Arial" w:cs="Arial"/>
          <w:lang w:val="en-US"/>
        </w:rPr>
        <w:t>) are most commonly used as joint replacements. In some cases, such as inflammation, bacterial infection or increased mechanical stress can cause these elements to be released and penetrate surrounding tissue or even accumulate in specific organs. Only a few methods can be used for the analysis of ultra concentrations of ions in animal fluids and tissue, but almost no one can also characterize the distribution of the ion. Even though laser ablation inductively coupled plasma spectrometry (LA-ICP-MS) is an analytical method for analyzing an inorganic sample, especially geological ones, today, it is being used more and more to determine the distribution of elements in different types of biological samples</w:t>
      </w:r>
      <w:r w:rsidR="00911EEC">
        <w:rPr>
          <w:rFonts w:ascii="Arial" w:hAnsi="Arial" w:cs="Arial"/>
          <w:lang w:val="en-US"/>
        </w:rPr>
        <w:t xml:space="preserve">. </w:t>
      </w:r>
      <w:r w:rsidRPr="004F2BFC">
        <w:rPr>
          <w:rFonts w:ascii="Arial" w:hAnsi="Arial" w:cs="Arial"/>
          <w:lang w:val="en-US"/>
        </w:rPr>
        <w:t>Bioimaging using LA-ICP-MS can be used to clarify questions of biomedical research such as bioaccumulation and bioavailability of elements in the tissues and provides insight into the basic chemical composition of living organisms.</w:t>
      </w:r>
      <w:r w:rsidRPr="00A20D2A">
        <w:rPr>
          <w:rFonts w:ascii="Arial" w:hAnsi="Arial" w:cs="Arial"/>
          <w:vertAlign w:val="superscript"/>
          <w:lang w:val="en-US"/>
        </w:rPr>
        <w:t>1, 2</w:t>
      </w:r>
    </w:p>
    <w:p w14:paraId="116B4D5D" w14:textId="39DEB0F5" w:rsidR="00737FAD" w:rsidRDefault="004F2BFC" w:rsidP="00A20D2A">
      <w:pPr>
        <w:spacing w:after="0" w:line="360" w:lineRule="auto"/>
        <w:ind w:firstLine="708"/>
        <w:jc w:val="both"/>
        <w:rPr>
          <w:rFonts w:ascii="Arial" w:hAnsi="Arial" w:cs="Arial"/>
          <w:lang w:val="en-US"/>
        </w:rPr>
      </w:pPr>
      <w:r w:rsidRPr="004F2BFC">
        <w:rPr>
          <w:rFonts w:ascii="Arial" w:hAnsi="Arial" w:cs="Arial"/>
          <w:lang w:val="en-US"/>
        </w:rPr>
        <w:t>The main objective is to develop a method to determine the distribution of elements at the cellular level, which means a mapping with a resolution at the level of micrometers. From a chemical point of view, a high</w:t>
      </w:r>
      <w:r>
        <w:rPr>
          <w:rFonts w:ascii="Arial" w:hAnsi="Arial" w:cs="Arial"/>
          <w:lang w:val="en-US"/>
        </w:rPr>
        <w:t>-</w:t>
      </w:r>
      <w:r w:rsidRPr="004F2BFC">
        <w:rPr>
          <w:rFonts w:ascii="Arial" w:hAnsi="Arial" w:cs="Arial"/>
          <w:lang w:val="en-US"/>
        </w:rPr>
        <w:t xml:space="preserve">sensitivity method for the determination of selected elements (Ni, </w:t>
      </w:r>
      <w:proofErr w:type="spellStart"/>
      <w:r w:rsidRPr="004F2BFC">
        <w:rPr>
          <w:rFonts w:ascii="Arial" w:hAnsi="Arial" w:cs="Arial"/>
          <w:lang w:val="en-US"/>
        </w:rPr>
        <w:t>Ti</w:t>
      </w:r>
      <w:proofErr w:type="spellEnd"/>
      <w:r w:rsidRPr="004F2BFC">
        <w:rPr>
          <w:rFonts w:ascii="Arial" w:hAnsi="Arial" w:cs="Arial"/>
          <w:lang w:val="en-US"/>
        </w:rPr>
        <w:t>) in tissues or even in individual cells will be developed and the behavior of these ions in the animal organism will be characterized.</w:t>
      </w:r>
    </w:p>
    <w:p w14:paraId="00C6A21B" w14:textId="14045392" w:rsidR="00FB63C4" w:rsidRPr="00A20D2A" w:rsidRDefault="00FB63C4" w:rsidP="00A20D2A">
      <w:pPr>
        <w:spacing w:after="0" w:line="360" w:lineRule="auto"/>
        <w:rPr>
          <w:rFonts w:ascii="Arial" w:hAnsi="Arial" w:cs="Arial"/>
        </w:rPr>
      </w:pPr>
    </w:p>
    <w:p w14:paraId="21E02752" w14:textId="2062F351" w:rsidR="00FD06E4" w:rsidRDefault="00FD06E4" w:rsidP="00C87D59">
      <w:pPr>
        <w:spacing w:after="0" w:line="360" w:lineRule="auto"/>
        <w:rPr>
          <w:rFonts w:ascii="Arial" w:hAnsi="Arial" w:cs="Arial"/>
          <w:i/>
          <w:iCs/>
          <w:lang w:val="en-GB"/>
        </w:rPr>
      </w:pPr>
      <w:r w:rsidRPr="00FD06E4">
        <w:rPr>
          <w:rFonts w:ascii="Arial" w:hAnsi="Arial" w:cs="Arial"/>
          <w:i/>
          <w:iCs/>
          <w:lang w:val="en-GB"/>
        </w:rPr>
        <w:t>References</w:t>
      </w:r>
    </w:p>
    <w:p w14:paraId="4C2A72BC" w14:textId="77777777" w:rsidR="004F2BFC" w:rsidRPr="00A20D2A" w:rsidRDefault="004F2BFC" w:rsidP="00A20D2A">
      <w:pPr>
        <w:spacing w:after="0" w:line="240" w:lineRule="auto"/>
        <w:rPr>
          <w:rFonts w:ascii="Arial" w:hAnsi="Arial" w:cs="Arial"/>
          <w:sz w:val="20"/>
          <w:szCs w:val="20"/>
          <w:lang w:val="en-GB"/>
        </w:rPr>
      </w:pPr>
      <w:r w:rsidRPr="00A20D2A">
        <w:rPr>
          <w:rFonts w:ascii="Arial" w:hAnsi="Arial" w:cs="Arial"/>
          <w:sz w:val="20"/>
          <w:szCs w:val="20"/>
          <w:lang w:val="en-GB"/>
        </w:rPr>
        <w:t xml:space="preserve">[1] M. </w:t>
      </w:r>
      <w:proofErr w:type="spellStart"/>
      <w:r w:rsidRPr="00A20D2A">
        <w:rPr>
          <w:rFonts w:ascii="Arial" w:hAnsi="Arial" w:cs="Arial"/>
          <w:sz w:val="20"/>
          <w:szCs w:val="20"/>
          <w:lang w:val="en-GB"/>
        </w:rPr>
        <w:t>Mikulewicz</w:t>
      </w:r>
      <w:proofErr w:type="spellEnd"/>
      <w:r w:rsidRPr="00A20D2A">
        <w:rPr>
          <w:rFonts w:ascii="Arial" w:hAnsi="Arial" w:cs="Arial"/>
          <w:sz w:val="20"/>
          <w:szCs w:val="20"/>
          <w:lang w:val="en-GB"/>
        </w:rPr>
        <w:t xml:space="preserve"> et al., Biological Trace Element Research, 142 (2011) 865-889, Cytocompatibility of Medical Biomaterials Containing Nickel by Osteoblasts: a Systematic Literature Review.</w:t>
      </w:r>
    </w:p>
    <w:p w14:paraId="0F1D3535" w14:textId="13806473" w:rsidR="00C87D59" w:rsidRPr="00A20D2A" w:rsidRDefault="004F2BFC" w:rsidP="00A20D2A">
      <w:pPr>
        <w:spacing w:after="0" w:line="240" w:lineRule="auto"/>
        <w:rPr>
          <w:rFonts w:ascii="Arial" w:hAnsi="Arial" w:cs="Arial"/>
          <w:sz w:val="20"/>
          <w:szCs w:val="20"/>
          <w:lang w:val="en-GB"/>
        </w:rPr>
      </w:pPr>
      <w:r w:rsidRPr="00A20D2A">
        <w:rPr>
          <w:rFonts w:ascii="Arial" w:hAnsi="Arial" w:cs="Arial"/>
          <w:sz w:val="20"/>
          <w:szCs w:val="20"/>
          <w:lang w:val="en-GB"/>
        </w:rPr>
        <w:t>[2] P.A. Doble et al., Chemical Reviews, 121 (2021) 11769-11822, Laser Ablation-Inductively Coupled Plasma-Mass Spectrometry Imaging in Biology.</w:t>
      </w:r>
    </w:p>
    <w:p w14:paraId="39D59C96" w14:textId="4FC20877" w:rsidR="00FD06E4" w:rsidRPr="00FB63C4" w:rsidRDefault="00FD06E4" w:rsidP="00FD06E4">
      <w:pPr>
        <w:spacing w:after="0" w:line="360" w:lineRule="auto"/>
        <w:rPr>
          <w:rFonts w:ascii="Arial" w:hAnsi="Arial" w:cs="Arial"/>
          <w:lang w:val="en-US"/>
        </w:rPr>
      </w:pPr>
    </w:p>
    <w:sectPr w:rsidR="00FD06E4" w:rsidRPr="00FB63C4" w:rsidSect="002D3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9C"/>
    <w:rsid w:val="00015908"/>
    <w:rsid w:val="000B4FAB"/>
    <w:rsid w:val="00102586"/>
    <w:rsid w:val="00106A79"/>
    <w:rsid w:val="00153906"/>
    <w:rsid w:val="001A2946"/>
    <w:rsid w:val="001F16D8"/>
    <w:rsid w:val="00293121"/>
    <w:rsid w:val="00294659"/>
    <w:rsid w:val="002C579B"/>
    <w:rsid w:val="002D3CCC"/>
    <w:rsid w:val="002F28C9"/>
    <w:rsid w:val="003432EB"/>
    <w:rsid w:val="003E0827"/>
    <w:rsid w:val="00471D9C"/>
    <w:rsid w:val="00487458"/>
    <w:rsid w:val="004903B5"/>
    <w:rsid w:val="004A4E28"/>
    <w:rsid w:val="004B144A"/>
    <w:rsid w:val="004C41B1"/>
    <w:rsid w:val="004D5C28"/>
    <w:rsid w:val="004D7C3E"/>
    <w:rsid w:val="004F2BFC"/>
    <w:rsid w:val="00526370"/>
    <w:rsid w:val="005379FA"/>
    <w:rsid w:val="00573EEC"/>
    <w:rsid w:val="005A7AC2"/>
    <w:rsid w:val="005B0CC2"/>
    <w:rsid w:val="005B7063"/>
    <w:rsid w:val="005E34E3"/>
    <w:rsid w:val="005F0A92"/>
    <w:rsid w:val="006040C4"/>
    <w:rsid w:val="00631A32"/>
    <w:rsid w:val="006513C7"/>
    <w:rsid w:val="006537C0"/>
    <w:rsid w:val="00666245"/>
    <w:rsid w:val="00672CCE"/>
    <w:rsid w:val="00677AD3"/>
    <w:rsid w:val="006A3942"/>
    <w:rsid w:val="006F4FB4"/>
    <w:rsid w:val="007068D0"/>
    <w:rsid w:val="007215FB"/>
    <w:rsid w:val="007373B0"/>
    <w:rsid w:val="00737FAD"/>
    <w:rsid w:val="0076266A"/>
    <w:rsid w:val="007852A8"/>
    <w:rsid w:val="007E39AD"/>
    <w:rsid w:val="007F13CB"/>
    <w:rsid w:val="00801FA0"/>
    <w:rsid w:val="0084033A"/>
    <w:rsid w:val="00880442"/>
    <w:rsid w:val="00887044"/>
    <w:rsid w:val="00890853"/>
    <w:rsid w:val="00907BA2"/>
    <w:rsid w:val="00911EEC"/>
    <w:rsid w:val="00925250"/>
    <w:rsid w:val="009843E4"/>
    <w:rsid w:val="009868AF"/>
    <w:rsid w:val="00987F39"/>
    <w:rsid w:val="009B2AD4"/>
    <w:rsid w:val="00A20D2A"/>
    <w:rsid w:val="00A80086"/>
    <w:rsid w:val="00A968E4"/>
    <w:rsid w:val="00AA732E"/>
    <w:rsid w:val="00AC72D7"/>
    <w:rsid w:val="00B04D99"/>
    <w:rsid w:val="00B73024"/>
    <w:rsid w:val="00B83506"/>
    <w:rsid w:val="00BE4341"/>
    <w:rsid w:val="00C650A4"/>
    <w:rsid w:val="00C87D59"/>
    <w:rsid w:val="00CB07E6"/>
    <w:rsid w:val="00CC68C4"/>
    <w:rsid w:val="00CE1E48"/>
    <w:rsid w:val="00CF7F3A"/>
    <w:rsid w:val="00D42189"/>
    <w:rsid w:val="00D42CCB"/>
    <w:rsid w:val="00D628AA"/>
    <w:rsid w:val="00DB1AF3"/>
    <w:rsid w:val="00DB387F"/>
    <w:rsid w:val="00DC38BE"/>
    <w:rsid w:val="00DD250C"/>
    <w:rsid w:val="00DF574B"/>
    <w:rsid w:val="00E20B25"/>
    <w:rsid w:val="00E6572F"/>
    <w:rsid w:val="00E779A8"/>
    <w:rsid w:val="00EA05E8"/>
    <w:rsid w:val="00EA4FAF"/>
    <w:rsid w:val="00EC7898"/>
    <w:rsid w:val="00EE44AA"/>
    <w:rsid w:val="00EE6826"/>
    <w:rsid w:val="00EF530E"/>
    <w:rsid w:val="00F01D58"/>
    <w:rsid w:val="00F63C4E"/>
    <w:rsid w:val="00F77908"/>
    <w:rsid w:val="00FB63C4"/>
    <w:rsid w:val="00FD0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D98D59"/>
  <w14:defaultImageDpi w14:val="0"/>
  <w15:chartTrackingRefBased/>
  <w15:docId w15:val="{061D2E7E-2D10-4725-BF5D-8D30AA70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3CCC"/>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F574B"/>
    <w:rPr>
      <w:color w:val="0563C1" w:themeColor="hyperlink"/>
      <w:u w:val="single"/>
    </w:rPr>
  </w:style>
  <w:style w:type="character" w:customStyle="1" w:styleId="UnresolvedMention">
    <w:name w:val="Unresolved Mention"/>
    <w:basedOn w:val="Standardnpsmoodstavce"/>
    <w:uiPriority w:val="99"/>
    <w:semiHidden/>
    <w:unhideWhenUsed/>
    <w:rsid w:val="00DF5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474005@m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39AF-F91C-4115-86C7-14B9C94A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1995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FaF VFU</Company>
  <LinksUpToDate>false</LinksUpToDate>
  <CharactersWithSpaces>2329</CharactersWithSpaces>
  <SharedDoc>false</SharedDoc>
  <HLinks>
    <vt:vector size="6" baseType="variant">
      <vt:variant>
        <vt:i4>8126534</vt:i4>
      </vt:variant>
      <vt:variant>
        <vt:i4>0</vt:i4>
      </vt:variant>
      <vt:variant>
        <vt:i4>0</vt:i4>
      </vt:variant>
      <vt:variant>
        <vt:i4>5</vt:i4>
      </vt:variant>
      <vt:variant>
        <vt:lpwstr>mailto:autor@xxx.yy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UCHL</dc:creator>
  <cp:keywords/>
  <cp:lastModifiedBy>Jiří Pinkas</cp:lastModifiedBy>
  <cp:revision>2</cp:revision>
  <dcterms:created xsi:type="dcterms:W3CDTF">2023-05-09T22:15:00Z</dcterms:created>
  <dcterms:modified xsi:type="dcterms:W3CDTF">2023-05-09T22:15:00Z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1b443b94bf19717a3b3a2eb9ebc3b0fc52b4c1e730a2d065e1d6e6b06ed9c7b8</vt:lpwstr>
  </property>
</Properties>
</file>