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E66" w14:textId="1F88F9C8" w:rsidR="00032844" w:rsidRPr="006C7A59" w:rsidRDefault="006C7A59" w:rsidP="00951174">
      <w:pPr>
        <w:pStyle w:val="Podnadpis"/>
        <w:spacing w:before="0" w:after="0" w:line="300" w:lineRule="auto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DB5AC1">
        <w:rPr>
          <w:rFonts w:ascii="Bahnschrift SemiBold" w:hAnsi="Bahnschrift SemiBold" w:cs="Segoe UI"/>
          <w:color w:val="auto"/>
          <w:sz w:val="22"/>
          <w:szCs w:val="22"/>
          <w:lang w:val="cs-CZ"/>
        </w:rPr>
        <w:t>10</w:t>
      </w:r>
    </w:p>
    <w:p w14:paraId="30723F30" w14:textId="0A76AA27" w:rsidR="00951174" w:rsidRPr="00A146DB" w:rsidRDefault="00951174" w:rsidP="00EE4452">
      <w:pPr>
        <w:spacing w:after="120"/>
        <w:ind w:right="113"/>
        <w:jc w:val="both"/>
        <w:rPr>
          <w:rFonts w:ascii="Bahnschrift SemiBold" w:hAnsi="Bahnschrift SemiBold" w:cs="Segoe UI"/>
          <w:b/>
          <w:sz w:val="20"/>
          <w:szCs w:val="20"/>
        </w:rPr>
      </w:pPr>
      <w:r w:rsidRPr="00A146DB">
        <w:rPr>
          <w:rFonts w:ascii="Bahnschrift SemiBold" w:hAnsi="Bahnschrift SemiBold" w:cs="Open Sans"/>
          <w:sz w:val="24"/>
          <w:szCs w:val="24"/>
        </w:rPr>
        <w:t>ODHAD PARAMETRŮ ROZPUSTNOSTI POLYMER</w:t>
      </w:r>
      <w:r w:rsidR="00A146DB">
        <w:rPr>
          <w:rFonts w:ascii="Bahnschrift SemiBold" w:hAnsi="Bahnschrift SemiBold" w:cs="Open Sans"/>
          <w:sz w:val="24"/>
          <w:szCs w:val="24"/>
        </w:rPr>
        <w:t>U PET</w:t>
      </w:r>
      <w:r w:rsidRPr="00A146DB">
        <w:rPr>
          <w:rFonts w:ascii="Bahnschrift SemiBold" w:hAnsi="Bahnschrift SemiBold" w:cs="Open Sans"/>
          <w:sz w:val="24"/>
          <w:szCs w:val="24"/>
        </w:rPr>
        <w:t xml:space="preserve"> V ROZPOUŠTĚDLECH</w:t>
      </w:r>
      <w:r w:rsidRPr="00A146DB">
        <w:rPr>
          <w:rFonts w:ascii="Bahnschrift SemiBold" w:hAnsi="Bahnschrift SemiBold" w:cs="Segoe UI"/>
          <w:b/>
          <w:sz w:val="20"/>
          <w:szCs w:val="20"/>
        </w:rPr>
        <w:t xml:space="preserve"> </w:t>
      </w:r>
    </w:p>
    <w:p w14:paraId="39E318DD" w14:textId="048D0129" w:rsidR="00867DFB" w:rsidRPr="00951174" w:rsidRDefault="00867DFB" w:rsidP="00951174">
      <w:pPr>
        <w:spacing w:after="120"/>
        <w:ind w:right="113"/>
        <w:jc w:val="both"/>
        <w:rPr>
          <w:rFonts w:ascii="Bahnschrift" w:hAnsi="Bahnschrift" w:cs="Segoe UI"/>
          <w:b/>
          <w:sz w:val="20"/>
          <w:szCs w:val="20"/>
        </w:rPr>
      </w:pPr>
      <w:r w:rsidRPr="00951174">
        <w:rPr>
          <w:rFonts w:ascii="Bahnschrift" w:hAnsi="Bahnschrift" w:cs="Segoe UI"/>
          <w:b/>
          <w:sz w:val="20"/>
          <w:szCs w:val="20"/>
        </w:rPr>
        <w:t>SOUHRN</w:t>
      </w:r>
    </w:p>
    <w:p w14:paraId="28164A28" w14:textId="77777777" w:rsidR="00951174" w:rsidRPr="00C52E82" w:rsidRDefault="00124A9B" w:rsidP="00951174">
      <w:pPr>
        <w:spacing w:after="120" w:line="276" w:lineRule="auto"/>
        <w:ind w:left="113" w:right="113"/>
        <w:jc w:val="both"/>
        <w:rPr>
          <w:rFonts w:ascii="Bahnschrift" w:hAnsi="Bahnschrift" w:cs="Open Sans"/>
          <w:noProof/>
          <w:sz w:val="20"/>
          <w:szCs w:val="20"/>
          <w:lang w:val="x-none"/>
        </w:rPr>
      </w:pPr>
      <w:r w:rsidRPr="00951174">
        <w:rPr>
          <w:rFonts w:ascii="Bahnschrift" w:hAnsi="Bahnschrift"/>
          <w:noProof/>
          <w:sz w:val="20"/>
          <w:szCs w:val="20"/>
        </w:rPr>
        <w:t xml:space="preserve">    </w:t>
      </w:r>
      <w:bookmarkStart w:id="0" w:name="_Hlk536213540"/>
      <w:r w:rsidR="00951174" w:rsidRPr="00C52E82">
        <w:rPr>
          <w:rFonts w:ascii="Bahnschrift" w:hAnsi="Bahnschrift" w:cs="Open Sans"/>
          <w:noProof/>
          <w:sz w:val="20"/>
          <w:szCs w:val="20"/>
          <w:lang w:val="x-none"/>
        </w:rPr>
        <w:t xml:space="preserve">Odolnost proti vlivům prostředí je významnou vlastností polymerních materiálů. Předběžné hodnocení, zda je polymer odolný v rozpouštědlech, lze provést např. metodou porovnání </w:t>
      </w:r>
      <w:r w:rsidR="00951174" w:rsidRPr="00C52E82">
        <w:rPr>
          <w:rFonts w:ascii="Bahnschrift" w:hAnsi="Bahnschrift" w:cs="Open Sans"/>
          <w:noProof/>
          <w:sz w:val="20"/>
          <w:szCs w:val="20"/>
        </w:rPr>
        <w:t xml:space="preserve">Hansenových </w:t>
      </w:r>
      <w:r w:rsidR="00951174" w:rsidRPr="00C52E82">
        <w:rPr>
          <w:rFonts w:ascii="Bahnschrift" w:hAnsi="Bahnschrift" w:cs="Open Sans"/>
          <w:noProof/>
          <w:sz w:val="20"/>
          <w:szCs w:val="20"/>
          <w:lang w:val="x-none"/>
        </w:rPr>
        <w:t xml:space="preserve">parametrů rozpustnosti δ.      </w:t>
      </w:r>
    </w:p>
    <w:p w14:paraId="7A27B319" w14:textId="77777777" w:rsidR="00951174" w:rsidRPr="00C52E82" w:rsidRDefault="00951174" w:rsidP="00951174">
      <w:pPr>
        <w:spacing w:after="120" w:line="276" w:lineRule="auto"/>
        <w:ind w:left="113" w:right="113"/>
        <w:jc w:val="both"/>
        <w:rPr>
          <w:rFonts w:ascii="Bahnschrift" w:hAnsi="Bahnschrift" w:cs="Open Sans"/>
          <w:noProof/>
          <w:sz w:val="20"/>
          <w:szCs w:val="20"/>
          <w:lang w:val="x-none"/>
        </w:rPr>
      </w:pPr>
      <w:r w:rsidRPr="00C52E82">
        <w:rPr>
          <w:rFonts w:ascii="Bahnschrift" w:hAnsi="Bahnschrift" w:cs="Open Sans"/>
          <w:noProof/>
          <w:sz w:val="20"/>
          <w:szCs w:val="20"/>
          <w:lang w:val="x-none"/>
        </w:rPr>
        <w:t xml:space="preserve">Obecně platí, že čím je rozdíl hodnot parametrů rozpustnosti δ polymeru a rozpouštědla menší, tím více dochází k botnání nebo rozpouštění. </w:t>
      </w:r>
    </w:p>
    <w:p w14:paraId="600ECCBA" w14:textId="77777777" w:rsidR="00951174" w:rsidRPr="00C52E82" w:rsidRDefault="00951174" w:rsidP="00951174">
      <w:pPr>
        <w:spacing w:after="120" w:line="276" w:lineRule="auto"/>
        <w:ind w:left="113" w:right="113"/>
        <w:jc w:val="both"/>
        <w:rPr>
          <w:rFonts w:ascii="Bahnschrift" w:hAnsi="Bahnschrift" w:cs="Open Sans"/>
          <w:noProof/>
          <w:sz w:val="20"/>
          <w:szCs w:val="20"/>
        </w:rPr>
      </w:pPr>
      <w:r w:rsidRPr="00C52E82">
        <w:rPr>
          <w:rFonts w:ascii="Bahnschrift" w:hAnsi="Bahnschrift" w:cs="Open Sans"/>
          <w:noProof/>
          <w:sz w:val="20"/>
          <w:szCs w:val="20"/>
        </w:rPr>
        <w:t xml:space="preserve">Principem stanovení je interakce polymeru a rozpouštědla, resp. polymeru a směsi rozpouštědel. Hodnocení je možné provést porovnáním tabelovaných hodnot parametrů rozpustnosti δ a stanovením rozdílu podle vzorce: </w:t>
      </w:r>
    </w:p>
    <w:p w14:paraId="3098647F" w14:textId="6BCF2BE6" w:rsidR="00951174" w:rsidRPr="006837CA" w:rsidRDefault="00951174" w:rsidP="00951174">
      <w:pPr>
        <w:spacing w:after="120"/>
        <w:jc w:val="center"/>
        <w:rPr>
          <w:rFonts w:ascii="Bahnschrift" w:hAnsi="Bahnschrift" w:cs="Open Sans"/>
          <w:noProof/>
          <w:vertAlign w:val="superscript"/>
        </w:rPr>
      </w:pPr>
      <w:r w:rsidRPr="006837CA">
        <w:rPr>
          <w:rFonts w:ascii="Bahnschrift" w:hAnsi="Bahnschrift" w:cs="Open Sans"/>
          <w:noProof/>
        </w:rPr>
        <w:t>Ra</w:t>
      </w:r>
      <w:r w:rsidRPr="006837CA">
        <w:rPr>
          <w:rFonts w:ascii="Bahnschrift" w:hAnsi="Bahnschrift" w:cs="Open Sans"/>
          <w:noProof/>
          <w:vertAlign w:val="superscript"/>
        </w:rPr>
        <w:t>2</w:t>
      </w:r>
      <w:r w:rsidRPr="006837CA">
        <w:rPr>
          <w:rFonts w:ascii="Bahnschrift" w:hAnsi="Bahnschrift" w:cs="Open Sans"/>
          <w:noProof/>
        </w:rPr>
        <w:t xml:space="preserve"> = 4(δ</w:t>
      </w:r>
      <w:r w:rsidRPr="006837CA">
        <w:rPr>
          <w:rFonts w:ascii="Bahnschrift" w:hAnsi="Bahnschrift" w:cs="Open Sans"/>
          <w:noProof/>
          <w:vertAlign w:val="subscript"/>
        </w:rPr>
        <w:t>D2</w:t>
      </w:r>
      <w:r w:rsidRPr="006837CA">
        <w:rPr>
          <w:rFonts w:ascii="Bahnschrift" w:hAnsi="Bahnschrift" w:cs="Open Sans"/>
          <w:noProof/>
        </w:rPr>
        <w:t>-δ</w:t>
      </w:r>
      <w:r w:rsidRPr="006837CA">
        <w:rPr>
          <w:rFonts w:ascii="Bahnschrift" w:hAnsi="Bahnschrift" w:cs="Open Sans"/>
          <w:noProof/>
          <w:vertAlign w:val="subscript"/>
        </w:rPr>
        <w:t>D1</w:t>
      </w:r>
      <w:r w:rsidRPr="006837CA">
        <w:rPr>
          <w:rFonts w:ascii="Bahnschrift" w:hAnsi="Bahnschrift" w:cs="Open Sans"/>
          <w:noProof/>
        </w:rPr>
        <w:t>)</w:t>
      </w:r>
      <w:r w:rsidRPr="006837CA">
        <w:rPr>
          <w:rFonts w:ascii="Bahnschrift" w:hAnsi="Bahnschrift" w:cs="Open Sans"/>
          <w:noProof/>
          <w:vertAlign w:val="superscript"/>
        </w:rPr>
        <w:t>2</w:t>
      </w:r>
      <w:r w:rsidRPr="006837CA">
        <w:rPr>
          <w:rFonts w:ascii="Bahnschrift" w:hAnsi="Bahnschrift" w:cs="Open Sans"/>
          <w:noProof/>
        </w:rPr>
        <w:t>+(δ</w:t>
      </w:r>
      <w:r w:rsidR="006837CA" w:rsidRPr="006837CA">
        <w:rPr>
          <w:rFonts w:ascii="Bahnschrift" w:hAnsi="Bahnschrift" w:cs="Open Sans"/>
          <w:noProof/>
          <w:vertAlign w:val="subscript"/>
        </w:rPr>
        <w:t>p</w:t>
      </w:r>
      <w:r w:rsidRPr="006837CA">
        <w:rPr>
          <w:rFonts w:ascii="Bahnschrift" w:hAnsi="Bahnschrift" w:cs="Open Sans"/>
          <w:noProof/>
          <w:vertAlign w:val="subscript"/>
        </w:rPr>
        <w:t>2</w:t>
      </w:r>
      <w:r w:rsidRPr="006837CA">
        <w:rPr>
          <w:rFonts w:ascii="Bahnschrift" w:hAnsi="Bahnschrift" w:cs="Open Sans"/>
          <w:noProof/>
        </w:rPr>
        <w:t>-δ</w:t>
      </w:r>
      <w:r w:rsidR="006837CA">
        <w:rPr>
          <w:rFonts w:ascii="Bahnschrift" w:hAnsi="Bahnschrift" w:cs="Open Sans"/>
          <w:noProof/>
          <w:vertAlign w:val="subscript"/>
        </w:rPr>
        <w:t>p</w:t>
      </w:r>
      <w:r w:rsidRPr="006837CA">
        <w:rPr>
          <w:rFonts w:ascii="Bahnschrift" w:hAnsi="Bahnschrift" w:cs="Open Sans"/>
          <w:noProof/>
          <w:vertAlign w:val="subscript"/>
        </w:rPr>
        <w:t>1</w:t>
      </w:r>
      <w:r w:rsidRPr="006837CA">
        <w:rPr>
          <w:rFonts w:ascii="Bahnschrift" w:hAnsi="Bahnschrift" w:cs="Open Sans"/>
          <w:noProof/>
        </w:rPr>
        <w:t>)</w:t>
      </w:r>
      <w:r w:rsidRPr="006837CA">
        <w:rPr>
          <w:rFonts w:ascii="Bahnschrift" w:hAnsi="Bahnschrift" w:cs="Open Sans"/>
          <w:noProof/>
          <w:vertAlign w:val="superscript"/>
        </w:rPr>
        <w:t>2</w:t>
      </w:r>
      <w:r w:rsidRPr="006837CA">
        <w:rPr>
          <w:rFonts w:ascii="Bahnschrift" w:hAnsi="Bahnschrift" w:cs="Open Sans"/>
          <w:noProof/>
        </w:rPr>
        <w:t>+(δ</w:t>
      </w:r>
      <w:r w:rsidR="006837CA">
        <w:rPr>
          <w:rFonts w:ascii="Bahnschrift" w:hAnsi="Bahnschrift" w:cs="Open Sans"/>
          <w:noProof/>
          <w:vertAlign w:val="subscript"/>
        </w:rPr>
        <w:t>H</w:t>
      </w:r>
      <w:r w:rsidRPr="006837CA">
        <w:rPr>
          <w:rFonts w:ascii="Bahnschrift" w:hAnsi="Bahnschrift" w:cs="Open Sans"/>
          <w:noProof/>
          <w:vertAlign w:val="subscript"/>
        </w:rPr>
        <w:t>2</w:t>
      </w:r>
      <w:r w:rsidRPr="006837CA">
        <w:rPr>
          <w:rFonts w:ascii="Bahnschrift" w:hAnsi="Bahnschrift" w:cs="Open Sans"/>
          <w:noProof/>
        </w:rPr>
        <w:t>-δ</w:t>
      </w:r>
      <w:r w:rsidR="006837CA">
        <w:rPr>
          <w:rFonts w:ascii="Bahnschrift" w:hAnsi="Bahnschrift" w:cs="Open Sans"/>
          <w:noProof/>
          <w:vertAlign w:val="subscript"/>
        </w:rPr>
        <w:t>H</w:t>
      </w:r>
      <w:r w:rsidRPr="006837CA">
        <w:rPr>
          <w:rFonts w:ascii="Bahnschrift" w:hAnsi="Bahnschrift" w:cs="Open Sans"/>
          <w:noProof/>
          <w:vertAlign w:val="subscript"/>
        </w:rPr>
        <w:t>1</w:t>
      </w:r>
      <w:r w:rsidRPr="006837CA">
        <w:rPr>
          <w:rFonts w:ascii="Bahnschrift" w:hAnsi="Bahnschrift" w:cs="Open Sans"/>
          <w:noProof/>
        </w:rPr>
        <w:t>)</w:t>
      </w:r>
      <w:r w:rsidRPr="006837CA">
        <w:rPr>
          <w:rFonts w:ascii="Bahnschrift" w:hAnsi="Bahnschrift" w:cs="Open Sans"/>
          <w:noProof/>
          <w:vertAlign w:val="superscript"/>
        </w:rPr>
        <w:t>2</w:t>
      </w:r>
    </w:p>
    <w:p w14:paraId="5508BEC8" w14:textId="67385CE6" w:rsidR="003F7B9F" w:rsidRPr="006837CA" w:rsidRDefault="006837CA" w:rsidP="003F7B9F">
      <w:pPr>
        <w:spacing w:after="120"/>
        <w:jc w:val="both"/>
        <w:rPr>
          <w:rFonts w:ascii="Bahnschrift" w:hAnsi="Bahnschrift" w:cs="Open Sans"/>
          <w:noProof/>
        </w:rPr>
      </w:pPr>
      <w:r>
        <w:rPr>
          <w:rFonts w:ascii="Bahnschrift" w:hAnsi="Bahnschrift" w:cs="Open Sans"/>
          <w:noProof/>
        </w:rPr>
        <w:t>k</w:t>
      </w:r>
      <w:r w:rsidR="003F7B9F" w:rsidRPr="006837CA">
        <w:rPr>
          <w:rFonts w:ascii="Bahnschrift" w:hAnsi="Bahnschrift" w:cs="Open Sans"/>
          <w:noProof/>
        </w:rPr>
        <w:t>de Ra je vzdálenost (distance) obou složek syst</w:t>
      </w:r>
      <w:r>
        <w:rPr>
          <w:rFonts w:ascii="Bahnschrift" w:hAnsi="Bahnschrift" w:cs="Open Sans"/>
          <w:noProof/>
        </w:rPr>
        <w:t>é</w:t>
      </w:r>
      <w:r w:rsidR="003F7B9F" w:rsidRPr="006837CA">
        <w:rPr>
          <w:rFonts w:ascii="Bahnschrift" w:hAnsi="Bahnschrift" w:cs="Open Sans"/>
          <w:noProof/>
        </w:rPr>
        <w:t>mu – polymeru a rozpouštědla</w:t>
      </w:r>
      <w:r w:rsidRPr="006837CA">
        <w:rPr>
          <w:rFonts w:ascii="Bahnschrift" w:hAnsi="Bahnschrift" w:cs="Open Sans"/>
          <w:noProof/>
        </w:rPr>
        <w:t>,</w:t>
      </w:r>
    </w:p>
    <w:p w14:paraId="4D87AAF0" w14:textId="7CC8A54B" w:rsidR="006837CA" w:rsidRPr="006837CA" w:rsidRDefault="006837CA" w:rsidP="003F7B9F">
      <w:pPr>
        <w:spacing w:after="120"/>
        <w:jc w:val="both"/>
        <w:rPr>
          <w:rFonts w:ascii="Bahnschrift" w:hAnsi="Bahnschrift" w:cs="Open Sans"/>
          <w:noProof/>
          <w:vertAlign w:val="subscript"/>
        </w:rPr>
      </w:pPr>
      <w:r>
        <w:rPr>
          <w:rFonts w:ascii="Bahnschrift" w:hAnsi="Bahnschrift" w:cs="Open Sans"/>
          <w:noProof/>
        </w:rPr>
        <w:t xml:space="preserve">       </w:t>
      </w:r>
      <w:r w:rsidRPr="006837CA">
        <w:rPr>
          <w:rFonts w:ascii="Bahnschrift" w:hAnsi="Bahnschrift" w:cs="Open Sans"/>
          <w:noProof/>
        </w:rPr>
        <w:t>δ</w:t>
      </w:r>
      <w:r w:rsidRPr="006837CA">
        <w:rPr>
          <w:rFonts w:ascii="Bahnschrift" w:hAnsi="Bahnschrift" w:cs="Open Sans"/>
          <w:noProof/>
          <w:vertAlign w:val="subscript"/>
        </w:rPr>
        <w:t>D1</w:t>
      </w:r>
      <w:r>
        <w:rPr>
          <w:rFonts w:ascii="Bahnschrift" w:hAnsi="Bahnschrift" w:cs="Open Sans"/>
          <w:noProof/>
          <w:vertAlign w:val="subscript"/>
        </w:rPr>
        <w:t>,</w:t>
      </w:r>
      <w:r w:rsidRPr="006837CA">
        <w:rPr>
          <w:rFonts w:ascii="Bahnschrift" w:hAnsi="Bahnschrift" w:cs="Open Sans"/>
          <w:noProof/>
        </w:rPr>
        <w:t xml:space="preserve"> δ</w:t>
      </w:r>
      <w:r w:rsidRPr="006837CA">
        <w:rPr>
          <w:rFonts w:ascii="Bahnschrift" w:hAnsi="Bahnschrift" w:cs="Open Sans"/>
          <w:noProof/>
          <w:vertAlign w:val="subscript"/>
        </w:rPr>
        <w:t>D2</w:t>
      </w:r>
      <w:r w:rsidRPr="006837CA">
        <w:rPr>
          <w:rFonts w:ascii="Bahnschrift" w:hAnsi="Bahnschrift" w:cs="Open Sans"/>
          <w:noProof/>
        </w:rPr>
        <w:t>, δ</w:t>
      </w:r>
      <w:r>
        <w:rPr>
          <w:rFonts w:ascii="Bahnschrift" w:hAnsi="Bahnschrift" w:cs="Open Sans"/>
          <w:noProof/>
          <w:vertAlign w:val="subscript"/>
        </w:rPr>
        <w:t>P</w:t>
      </w:r>
      <w:r w:rsidRPr="006837CA">
        <w:rPr>
          <w:rFonts w:ascii="Bahnschrift" w:hAnsi="Bahnschrift" w:cs="Open Sans"/>
          <w:noProof/>
          <w:vertAlign w:val="subscript"/>
        </w:rPr>
        <w:t>1</w:t>
      </w:r>
      <w:r>
        <w:rPr>
          <w:rFonts w:ascii="Bahnschrift" w:hAnsi="Bahnschrift" w:cs="Open Sans"/>
          <w:noProof/>
          <w:vertAlign w:val="subscript"/>
        </w:rPr>
        <w:t>,</w:t>
      </w:r>
      <w:r w:rsidRPr="006837CA">
        <w:rPr>
          <w:rFonts w:ascii="Bahnschrift" w:hAnsi="Bahnschrift" w:cs="Open Sans"/>
          <w:noProof/>
        </w:rPr>
        <w:t xml:space="preserve"> δ</w:t>
      </w:r>
      <w:r>
        <w:rPr>
          <w:rFonts w:ascii="Bahnschrift" w:hAnsi="Bahnschrift" w:cs="Open Sans"/>
          <w:noProof/>
          <w:vertAlign w:val="subscript"/>
        </w:rPr>
        <w:t>P</w:t>
      </w:r>
      <w:r w:rsidRPr="006837CA">
        <w:rPr>
          <w:rFonts w:ascii="Bahnschrift" w:hAnsi="Bahnschrift" w:cs="Open Sans"/>
          <w:noProof/>
          <w:vertAlign w:val="subscript"/>
        </w:rPr>
        <w:t>2</w:t>
      </w:r>
      <w:r>
        <w:rPr>
          <w:rFonts w:ascii="Bahnschrift" w:hAnsi="Bahnschrift" w:cs="Open Sans"/>
          <w:noProof/>
        </w:rPr>
        <w:t>,</w:t>
      </w:r>
      <w:r>
        <w:rPr>
          <w:rFonts w:ascii="Bahnschrift" w:hAnsi="Bahnschrift" w:cs="Open Sans"/>
          <w:noProof/>
          <w:vertAlign w:val="subscript"/>
        </w:rPr>
        <w:t xml:space="preserve"> </w:t>
      </w:r>
      <w:r w:rsidRPr="006837CA">
        <w:rPr>
          <w:rFonts w:ascii="Bahnschrift" w:hAnsi="Bahnschrift" w:cs="Open Sans"/>
          <w:noProof/>
        </w:rPr>
        <w:t>δ</w:t>
      </w:r>
      <w:r>
        <w:rPr>
          <w:rFonts w:ascii="Bahnschrift" w:hAnsi="Bahnschrift" w:cs="Open Sans"/>
          <w:noProof/>
          <w:vertAlign w:val="subscript"/>
        </w:rPr>
        <w:t>H</w:t>
      </w:r>
      <w:r w:rsidRPr="006837CA">
        <w:rPr>
          <w:rFonts w:ascii="Bahnschrift" w:hAnsi="Bahnschrift" w:cs="Open Sans"/>
          <w:noProof/>
          <w:vertAlign w:val="subscript"/>
        </w:rPr>
        <w:t>1</w:t>
      </w:r>
      <w:r w:rsidRPr="006837CA">
        <w:rPr>
          <w:rFonts w:ascii="Bahnschrift" w:hAnsi="Bahnschrift" w:cs="Open Sans"/>
          <w:noProof/>
        </w:rPr>
        <w:t>, δ</w:t>
      </w:r>
      <w:r>
        <w:rPr>
          <w:rFonts w:ascii="Bahnschrift" w:hAnsi="Bahnschrift" w:cs="Open Sans"/>
          <w:noProof/>
          <w:vertAlign w:val="subscript"/>
        </w:rPr>
        <w:t>H</w:t>
      </w:r>
      <w:r w:rsidRPr="006837CA">
        <w:rPr>
          <w:rFonts w:ascii="Bahnschrift" w:hAnsi="Bahnschrift" w:cs="Open Sans"/>
          <w:noProof/>
          <w:vertAlign w:val="subscript"/>
        </w:rPr>
        <w:t>2</w:t>
      </w:r>
      <w:r>
        <w:rPr>
          <w:rFonts w:ascii="Bahnschrift" w:hAnsi="Bahnschrift" w:cs="Open Sans"/>
          <w:noProof/>
          <w:vertAlign w:val="subscript"/>
        </w:rPr>
        <w:t xml:space="preserve">  </w:t>
      </w:r>
      <w:r w:rsidRPr="006837CA">
        <w:rPr>
          <w:rFonts w:ascii="Bahnschrift" w:hAnsi="Bahnschrift" w:cs="Open Sans"/>
          <w:noProof/>
        </w:rPr>
        <w:t>j</w:t>
      </w:r>
      <w:r>
        <w:rPr>
          <w:rFonts w:ascii="Bahnschrift" w:hAnsi="Bahnschrift" w:cs="Open Sans"/>
          <w:noProof/>
        </w:rPr>
        <w:t xml:space="preserve">sou tabelované parametry.  </w:t>
      </w:r>
      <w:r w:rsidRPr="006837CA">
        <w:rPr>
          <w:rFonts w:ascii="Bahnschrift" w:hAnsi="Bahnschrift" w:cs="Open Sans"/>
          <w:noProof/>
        </w:rPr>
        <w:t xml:space="preserve">       </w:t>
      </w:r>
    </w:p>
    <w:p w14:paraId="658B1017" w14:textId="77777777" w:rsidR="00EE4452" w:rsidRPr="00C52E82" w:rsidRDefault="00EE4452" w:rsidP="00EE4452">
      <w:pPr>
        <w:pStyle w:val="Zhlav"/>
        <w:spacing w:before="60" w:line="288" w:lineRule="auto"/>
        <w:jc w:val="both"/>
        <w:rPr>
          <w:rFonts w:ascii="Bahnschrift" w:hAnsi="Bahnschrift" w:cs="Open Sans"/>
          <w:b/>
          <w:noProof/>
        </w:rPr>
      </w:pPr>
      <w:r w:rsidRPr="00C52E82">
        <w:rPr>
          <w:rFonts w:ascii="Bahnschrift" w:hAnsi="Bahnschrift" w:cs="Open Sans"/>
          <w:b/>
          <w:noProof/>
        </w:rPr>
        <w:t>Výpočet pro vybrané systémy</w:t>
      </w:r>
    </w:p>
    <w:p w14:paraId="598E5AB6" w14:textId="77777777" w:rsidR="00EE4452" w:rsidRPr="00EE4452" w:rsidRDefault="00EE4452" w:rsidP="00EE4452">
      <w:pPr>
        <w:pStyle w:val="Zhlav"/>
        <w:spacing w:after="120" w:line="300" w:lineRule="auto"/>
        <w:jc w:val="both"/>
        <w:rPr>
          <w:rFonts w:ascii="Bahnschrift" w:hAnsi="Bahnschrift" w:cs="Open Sans"/>
          <w:noProof/>
        </w:rPr>
      </w:pPr>
      <w:r w:rsidRPr="00EE4452">
        <w:rPr>
          <w:rFonts w:ascii="Bahnschrift" w:hAnsi="Bahnschrift" w:cs="Open Sans"/>
          <w:noProof/>
        </w:rPr>
        <w:t>Tabulka pro vybraná rozpouštědla a polymer PET byla zpracována s použitím hodnot podle HSP Solvent Blends (viz databáze https://www.stevenabbott.co.uk/practical-adhesion/hsp.php).  Údaje jsou zaznamenávány v rozsahu 0–100 % R1, dělení po 5 %.</w:t>
      </w:r>
    </w:p>
    <w:p w14:paraId="453AD88D" w14:textId="77777777" w:rsidR="00EE4452" w:rsidRPr="00EE4452" w:rsidRDefault="00EE4452" w:rsidP="00EE4452">
      <w:pPr>
        <w:pStyle w:val="Zhlav"/>
        <w:spacing w:after="120" w:line="300" w:lineRule="auto"/>
        <w:jc w:val="both"/>
        <w:rPr>
          <w:rFonts w:ascii="Bahnschrift" w:hAnsi="Bahnschrift" w:cs="Open Sans"/>
          <w:noProof/>
        </w:rPr>
      </w:pPr>
      <w:r w:rsidRPr="00EE4452">
        <w:rPr>
          <w:rFonts w:ascii="Bahnschrift" w:hAnsi="Bahnschrift" w:cs="Open Sans"/>
          <w:noProof/>
        </w:rPr>
        <w:t xml:space="preserve">Tabelované hodnoty parametrů rozpustnosti a jejich rozdílu se odečítají pro studované systémy z údajů databáze a zpracují do tabulky v příloze. </w:t>
      </w:r>
    </w:p>
    <w:p w14:paraId="2252EAF9" w14:textId="77777777" w:rsidR="00EE4452" w:rsidRPr="00EE4452" w:rsidRDefault="00EE4452" w:rsidP="00EE4452">
      <w:pPr>
        <w:pStyle w:val="Zhlav"/>
        <w:spacing w:before="0" w:line="300" w:lineRule="auto"/>
        <w:jc w:val="both"/>
        <w:rPr>
          <w:rFonts w:ascii="Bahnschrift" w:hAnsi="Bahnschrift" w:cs="Open Sans"/>
          <w:b/>
          <w:noProof/>
        </w:rPr>
      </w:pPr>
      <w:r w:rsidRPr="00EE4452">
        <w:rPr>
          <w:rFonts w:ascii="Bahnschrift" w:hAnsi="Bahnschrift" w:cs="Open Sans"/>
          <w:b/>
          <w:noProof/>
        </w:rPr>
        <w:t>Grafické zpracování výsledků</w:t>
      </w:r>
    </w:p>
    <w:p w14:paraId="29307291" w14:textId="36B889A0" w:rsidR="00CA47C1" w:rsidRDefault="00EE4452" w:rsidP="00EE4452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 w:rsidRPr="00FD63C9">
        <w:rPr>
          <w:rFonts w:ascii="Bahnschrift" w:hAnsi="Bahnschrift" w:cs="Open Sans"/>
          <w:noProof/>
        </w:rPr>
        <w:t>Tabelované hodnoty parametrů rozpustnosti a jejich rozdílu, odečtené pro studované systémy s rozdílem Ra &lt; 4 z tabulky v příloze se zpracují ve formě grafické závislosti Ra = f (R1, R2) a odečítají procentické poměry agresivních rozpouštědel</w:t>
      </w:r>
      <w:r>
        <w:rPr>
          <w:rFonts w:ascii="Bahnschrift" w:hAnsi="Bahnschrift" w:cs="Open Sans"/>
          <w:noProof/>
        </w:rPr>
        <w:t>.</w:t>
      </w:r>
    </w:p>
    <w:p w14:paraId="7D4FDFED" w14:textId="2EE7ECC4" w:rsidR="00EE4452" w:rsidRDefault="00EE4452" w:rsidP="00EE4452">
      <w:pPr>
        <w:pStyle w:val="Zhlav"/>
        <w:spacing w:line="288" w:lineRule="auto"/>
        <w:jc w:val="both"/>
        <w:rPr>
          <w:rFonts w:ascii="Bahnschrift" w:hAnsi="Bahnschrift" w:cs="Open Sans"/>
          <w:noProof/>
        </w:rPr>
      </w:pPr>
      <w:r w:rsidRPr="00EE4452">
        <w:rPr>
          <w:rFonts w:ascii="Bahnschrift SemiBold" w:hAnsi="Bahnschrift SemiBold" w:cs="Open Sans"/>
          <w:noProof/>
        </w:rPr>
        <w:t>Tabulka</w:t>
      </w:r>
      <w:r>
        <w:rPr>
          <w:rFonts w:ascii="Bahnschrift" w:hAnsi="Bahnschrift" w:cs="Open Sans"/>
          <w:noProof/>
        </w:rPr>
        <w:t xml:space="preserve"> 1</w:t>
      </w:r>
      <w:r w:rsidRPr="00EE4452">
        <w:rPr>
          <w:rFonts w:ascii="Bahnschrift" w:hAnsi="Bahnschrift" w:cs="Open Sans"/>
          <w:noProof/>
        </w:rPr>
        <w:t xml:space="preserve"> </w:t>
      </w:r>
      <w:r>
        <w:rPr>
          <w:rFonts w:ascii="Bahnschrift" w:hAnsi="Bahnschrift" w:cs="Open Sans"/>
          <w:noProof/>
        </w:rPr>
        <w:t xml:space="preserve">Hodnoty Ra </w:t>
      </w:r>
      <w:r w:rsidRPr="00EE4452">
        <w:rPr>
          <w:rFonts w:ascii="Bahnschrift" w:hAnsi="Bahnschrift" w:cs="Open Sans"/>
          <w:noProof/>
        </w:rPr>
        <w:t>Hansenových parametrů rozpustnosti pro dané směsi rozpouštědel.</w:t>
      </w:r>
    </w:p>
    <w:p w14:paraId="5FB97275" w14:textId="418BEDA5" w:rsidR="00EE4452" w:rsidRPr="00EE4452" w:rsidRDefault="00EE4452" w:rsidP="00EE4452">
      <w:pPr>
        <w:pStyle w:val="Zhlav"/>
        <w:spacing w:line="288" w:lineRule="auto"/>
        <w:jc w:val="both"/>
        <w:rPr>
          <w:rFonts w:ascii="Bahnschrift" w:hAnsi="Bahnschrift" w:cs="Open Sans"/>
          <w:noProof/>
        </w:rPr>
      </w:pPr>
      <w:r>
        <w:rPr>
          <w:rFonts w:ascii="Bahnschrift" w:hAnsi="Bahnschrift" w:cs="Open Sans"/>
          <w:noProof/>
        </w:rPr>
        <w:t>(příklad)</w:t>
      </w:r>
    </w:p>
    <w:tbl>
      <w:tblPr>
        <w:tblStyle w:val="Mkatabulky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2195"/>
        <w:gridCol w:w="708"/>
        <w:gridCol w:w="567"/>
        <w:gridCol w:w="567"/>
        <w:gridCol w:w="567"/>
        <w:gridCol w:w="567"/>
        <w:gridCol w:w="567"/>
        <w:gridCol w:w="567"/>
        <w:gridCol w:w="579"/>
        <w:gridCol w:w="589"/>
        <w:gridCol w:w="637"/>
        <w:gridCol w:w="605"/>
      </w:tblGrid>
      <w:tr w:rsidR="00EE4452" w:rsidRPr="00C52E82" w14:paraId="7F71626C" w14:textId="77777777" w:rsidTr="00E36338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FB6" w14:textId="77777777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Obsah NMP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342" w14:textId="77777777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D961" w14:textId="59AB24EC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87D" w14:textId="3394D6DA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1</w:t>
            </w:r>
            <w:r w:rsidR="00EE4452" w:rsidRPr="00C52E82">
              <w:rPr>
                <w:rFonts w:ascii="Bahnschrift" w:hAnsi="Bahnschrift" w:cs="Open San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C9E" w14:textId="3E5876B2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EEA2" w14:textId="75DC98C1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065" w14:textId="1C5044CA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0D5" w14:textId="7587E189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C08" w14:textId="06F2ABB9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2406" w14:textId="230D1389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134" w14:textId="7BD89240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ECD" w14:textId="08EC35CB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</w:t>
            </w:r>
            <w:r w:rsidR="00EE4452" w:rsidRPr="00C52E82">
              <w:rPr>
                <w:rFonts w:ascii="Bahnschrift" w:hAnsi="Bahnschrift" w:cs="Open Sans"/>
              </w:rPr>
              <w:t>0</w:t>
            </w:r>
          </w:p>
        </w:tc>
      </w:tr>
      <w:tr w:rsidR="00EE4452" w:rsidRPr="00C52E82" w14:paraId="20C3CE0C" w14:textId="77777777" w:rsidTr="00E36338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D547" w14:textId="476503FD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 xml:space="preserve">Ra </w:t>
            </w:r>
            <w:r>
              <w:rPr>
                <w:rFonts w:ascii="Bahnschrift" w:hAnsi="Bahnschrift" w:cs="Open Sans"/>
              </w:rPr>
              <w:t>s</w:t>
            </w:r>
            <w:r w:rsidRPr="00C52E82">
              <w:rPr>
                <w:rFonts w:ascii="Bahnschrift" w:hAnsi="Bahnschrift" w:cs="Open Sans"/>
              </w:rPr>
              <w:t xml:space="preserve">měsi </w:t>
            </w:r>
            <w:r>
              <w:rPr>
                <w:rFonts w:ascii="Bahnschrift" w:hAnsi="Bahnschrift" w:cs="Open Sans"/>
              </w:rPr>
              <w:t>R1 a R2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7CB01" w14:textId="77777777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3A069" w14:textId="4F07A503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94B7" w14:textId="46805557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2,</w:t>
            </w:r>
            <w:r w:rsidR="00C47B97">
              <w:rPr>
                <w:rFonts w:ascii="Bahnschrift" w:hAnsi="Bahnschrift" w:cs="Open San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0FA4" w14:textId="24204CF5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2,</w:t>
            </w:r>
            <w:r w:rsidR="00C47B97">
              <w:rPr>
                <w:rFonts w:ascii="Bahnschrift" w:hAnsi="Bahnschrift" w:cs="Open San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7D447" w14:textId="022B7924" w:rsidR="00EE4452" w:rsidRPr="00C52E82" w:rsidRDefault="00EE4452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2,</w:t>
            </w:r>
            <w:r w:rsidR="00C47B97">
              <w:rPr>
                <w:rFonts w:ascii="Bahnschrift" w:hAnsi="Bahnschrift" w:cs="Open San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78F7F" w14:textId="73DD3580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8BD98" w14:textId="686A93E0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</w:t>
            </w:r>
            <w:r w:rsidR="00EE4452" w:rsidRPr="00C52E82">
              <w:rPr>
                <w:rFonts w:ascii="Bahnschrift" w:hAnsi="Bahnschrift" w:cs="Open Sans"/>
              </w:rPr>
              <w:t>,7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E74D8" w14:textId="2E09D276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5496E" w14:textId="04EEE145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2,9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EB4F7" w14:textId="750109D7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11D74" w14:textId="39C209F8" w:rsidR="00EE4452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3,2</w:t>
            </w:r>
          </w:p>
        </w:tc>
      </w:tr>
    </w:tbl>
    <w:p w14:paraId="76B88026" w14:textId="77777777" w:rsidR="006837CA" w:rsidRPr="00EE4452" w:rsidRDefault="006837CA" w:rsidP="006837CA">
      <w:pPr>
        <w:pStyle w:val="Zhlav"/>
        <w:spacing w:before="0" w:after="0" w:line="300" w:lineRule="auto"/>
        <w:jc w:val="both"/>
        <w:rPr>
          <w:rFonts w:ascii="Bahnschrift" w:hAnsi="Bahnschrift" w:cs="Open Sans"/>
          <w:noProof/>
        </w:rPr>
      </w:pPr>
    </w:p>
    <w:tbl>
      <w:tblPr>
        <w:tblStyle w:val="Mkatabulky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2195"/>
        <w:gridCol w:w="708"/>
        <w:gridCol w:w="567"/>
        <w:gridCol w:w="567"/>
        <w:gridCol w:w="567"/>
        <w:gridCol w:w="567"/>
        <w:gridCol w:w="567"/>
        <w:gridCol w:w="567"/>
        <w:gridCol w:w="579"/>
        <w:gridCol w:w="589"/>
        <w:gridCol w:w="637"/>
      </w:tblGrid>
      <w:tr w:rsidR="00C47B97" w:rsidRPr="00C52E82" w14:paraId="084FCBDA" w14:textId="77777777" w:rsidTr="00E36338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C04" w14:textId="77777777" w:rsidR="00C47B97" w:rsidRPr="00C52E82" w:rsidRDefault="00C47B97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Obsah NMP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69C0" w14:textId="13BA5F85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AB7D" w14:textId="7F070FE9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6</w:t>
            </w:r>
            <w:r w:rsidRPr="00C52E82">
              <w:rPr>
                <w:rFonts w:ascii="Bahnschrift" w:hAnsi="Bahnschrift" w:cs="Open San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1DA" w14:textId="1333596D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D10F" w14:textId="0B2D494D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69F" w14:textId="0C0CDEFC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BA70" w14:textId="700D7DC3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8</w:t>
            </w:r>
            <w:r w:rsidRPr="00C52E82">
              <w:rPr>
                <w:rFonts w:ascii="Bahnschrift" w:hAnsi="Bahnschrift" w:cs="Open San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B16" w14:textId="3F70EE50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85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C103" w14:textId="16F27039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9</w:t>
            </w:r>
            <w:r w:rsidRPr="00C52E82">
              <w:rPr>
                <w:rFonts w:ascii="Bahnschrift" w:hAnsi="Bahnschrift" w:cs="Open San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57A5" w14:textId="02BE2A31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95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40B0" w14:textId="3F787892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10</w:t>
            </w:r>
            <w:r w:rsidRPr="00C52E82">
              <w:rPr>
                <w:rFonts w:ascii="Bahnschrift" w:hAnsi="Bahnschrift" w:cs="Open Sans"/>
              </w:rPr>
              <w:t>0</w:t>
            </w:r>
          </w:p>
        </w:tc>
      </w:tr>
      <w:tr w:rsidR="00C47B97" w:rsidRPr="00C52E82" w14:paraId="7DEF63AA" w14:textId="77777777" w:rsidTr="00E36338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25D6" w14:textId="77777777" w:rsidR="00C47B97" w:rsidRPr="00C52E82" w:rsidRDefault="00C47B97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 xml:space="preserve">Ra </w:t>
            </w:r>
            <w:r>
              <w:rPr>
                <w:rFonts w:ascii="Bahnschrift" w:hAnsi="Bahnschrift" w:cs="Open Sans"/>
              </w:rPr>
              <w:t>s</w:t>
            </w:r>
            <w:r w:rsidRPr="00C52E82">
              <w:rPr>
                <w:rFonts w:ascii="Bahnschrift" w:hAnsi="Bahnschrift" w:cs="Open Sans"/>
              </w:rPr>
              <w:t xml:space="preserve">měsi </w:t>
            </w:r>
            <w:r>
              <w:rPr>
                <w:rFonts w:ascii="Bahnschrift" w:hAnsi="Bahnschrift" w:cs="Open Sans"/>
              </w:rPr>
              <w:t>R1 a R2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7310" w14:textId="4585A45B" w:rsidR="00C47B97" w:rsidRPr="00C52E82" w:rsidRDefault="00C47B97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3,</w:t>
            </w:r>
            <w:r>
              <w:rPr>
                <w:rFonts w:ascii="Bahnschrift" w:hAnsi="Bahnschrift" w:cs="Open San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EB13" w14:textId="1144BD18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35EF" w14:textId="7A2FC31C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D961" w14:textId="3EDFEE52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49FC" w14:textId="5AEA8273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D2A08" w14:textId="71734977" w:rsidR="00C47B97" w:rsidRPr="00C52E82" w:rsidRDefault="00C47B97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3,</w:t>
            </w:r>
            <w:r>
              <w:rPr>
                <w:rFonts w:ascii="Bahnschrift" w:hAnsi="Bahnschrift" w:cs="Open San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23472" w14:textId="1F117283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2D473" w14:textId="6D1EC53E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3438" w14:textId="325D0006" w:rsidR="00C47B97" w:rsidRPr="00C52E82" w:rsidRDefault="00C47B97" w:rsidP="00E36338">
            <w:pPr>
              <w:rPr>
                <w:rFonts w:ascii="Bahnschrift" w:hAnsi="Bahnschrift" w:cs="Open Sans"/>
              </w:rPr>
            </w:pPr>
            <w:r>
              <w:rPr>
                <w:rFonts w:ascii="Bahnschrift" w:hAnsi="Bahnschrift" w:cs="Open Sans"/>
              </w:rPr>
              <w:t>5,6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90629" w14:textId="6A3D8E70" w:rsidR="00C47B97" w:rsidRPr="00C52E82" w:rsidRDefault="00C47B97" w:rsidP="00E36338">
            <w:pPr>
              <w:rPr>
                <w:rFonts w:ascii="Bahnschrift" w:hAnsi="Bahnschrift" w:cs="Open Sans"/>
              </w:rPr>
            </w:pPr>
            <w:r w:rsidRPr="00C52E82">
              <w:rPr>
                <w:rFonts w:ascii="Bahnschrift" w:hAnsi="Bahnschrift" w:cs="Open Sans"/>
              </w:rPr>
              <w:t>5,</w:t>
            </w:r>
            <w:r>
              <w:rPr>
                <w:rFonts w:ascii="Bahnschrift" w:hAnsi="Bahnschrift" w:cs="Open Sans"/>
              </w:rPr>
              <w:t>9</w:t>
            </w:r>
          </w:p>
        </w:tc>
      </w:tr>
    </w:tbl>
    <w:p w14:paraId="12C47336" w14:textId="585753E9" w:rsidR="00EE4452" w:rsidRDefault="00C47B97" w:rsidP="00EE4452">
      <w:pPr>
        <w:pStyle w:val="Zhlav"/>
        <w:spacing w:line="288" w:lineRule="auto"/>
        <w:jc w:val="both"/>
        <w:rPr>
          <w:rFonts w:ascii="Bahnschrift" w:hAnsi="Bahnschrift" w:cs="Open Sans"/>
          <w:bCs/>
          <w:noProof/>
        </w:rPr>
      </w:pPr>
      <w:r>
        <w:rPr>
          <w:rFonts w:ascii="Bahnschrift" w:hAnsi="Bahnschrift" w:cs="Open Sans"/>
          <w:bCs/>
          <w:noProof/>
        </w:rPr>
        <w:t xml:space="preserve">                   </w:t>
      </w:r>
      <w:r w:rsidR="00EE4452" w:rsidRPr="006837CA">
        <w:rPr>
          <w:rFonts w:ascii="Bahnschrift" w:hAnsi="Bahnschrift" w:cs="Open Sans"/>
          <w:bCs/>
          <w:noProof/>
        </w:rPr>
        <w:t>R1 – N-</w:t>
      </w:r>
      <w:r>
        <w:rPr>
          <w:rFonts w:ascii="Bahnschrift" w:hAnsi="Bahnschrift" w:cs="Open Sans"/>
          <w:bCs/>
          <w:noProof/>
        </w:rPr>
        <w:t>M</w:t>
      </w:r>
      <w:r w:rsidR="00EE4452" w:rsidRPr="006837CA">
        <w:rPr>
          <w:rFonts w:ascii="Bahnschrift" w:hAnsi="Bahnschrift" w:cs="Open Sans"/>
          <w:bCs/>
          <w:noProof/>
        </w:rPr>
        <w:t>ethylpyrrolidon (NMP); R2 – Tetrahydrofuran (THF)</w:t>
      </w:r>
    </w:p>
    <w:p w14:paraId="1BD8E643" w14:textId="77777777" w:rsidR="006837CA" w:rsidRDefault="006837CA" w:rsidP="00EE4452">
      <w:pPr>
        <w:pStyle w:val="Zhlav"/>
        <w:spacing w:line="288" w:lineRule="auto"/>
        <w:jc w:val="both"/>
        <w:rPr>
          <w:rFonts w:ascii="Bahnschrift" w:hAnsi="Bahnschrift" w:cs="Open Sans"/>
          <w:bCs/>
          <w:noProof/>
        </w:rPr>
      </w:pPr>
    </w:p>
    <w:p w14:paraId="64297545" w14:textId="5363317D" w:rsidR="00AB00C0" w:rsidRDefault="00732670" w:rsidP="00951174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</w:t>
      </w:r>
    </w:p>
    <w:p w14:paraId="28E7F68E" w14:textId="77777777" w:rsidR="00DB5AC1" w:rsidRPr="00C47B97" w:rsidRDefault="00DB5AC1" w:rsidP="00DB5AC1">
      <w:pPr>
        <w:pStyle w:val="Zhlav"/>
        <w:spacing w:before="0" w:after="0" w:line="300" w:lineRule="auto"/>
        <w:jc w:val="both"/>
        <w:rPr>
          <w:rFonts w:ascii="Bahnschrift" w:hAnsi="Bahnschrift" w:cs="Open Sans"/>
          <w:b/>
          <w:noProof/>
        </w:rPr>
      </w:pPr>
      <w:r w:rsidRPr="00C47B97">
        <w:rPr>
          <w:rFonts w:ascii="Bahnschrift" w:hAnsi="Bahnschrift" w:cs="Open Sans"/>
          <w:b/>
          <w:noProof/>
        </w:rPr>
        <w:t>Grafická část</w:t>
      </w:r>
    </w:p>
    <w:p w14:paraId="58B45730" w14:textId="5296E9DA" w:rsidR="00DB5AC1" w:rsidRPr="00C47B97" w:rsidRDefault="00DB5AC1" w:rsidP="00DB5AC1">
      <w:pPr>
        <w:pStyle w:val="Zhlav"/>
        <w:spacing w:before="0" w:after="0" w:line="300" w:lineRule="auto"/>
        <w:jc w:val="both"/>
        <w:rPr>
          <w:rFonts w:ascii="Bahnschrift" w:hAnsi="Bahnschrift" w:cs="Open Sans"/>
          <w:b/>
          <w:noProof/>
        </w:rPr>
      </w:pPr>
      <w:r w:rsidRPr="00C47B97">
        <w:rPr>
          <w:rFonts w:ascii="Bahnschrift" w:hAnsi="Bahnschrift" w:cs="Open Sans"/>
          <w:noProof/>
        </w:rPr>
        <w:t xml:space="preserve">Pro systém rozpouštědel </w:t>
      </w:r>
      <w:r w:rsidR="00C47B97" w:rsidRPr="00C47B97">
        <w:rPr>
          <w:rFonts w:ascii="Bahnschrift" w:hAnsi="Bahnschrift" w:cs="Open Sans"/>
          <w:noProof/>
        </w:rPr>
        <w:t xml:space="preserve">NMP </w:t>
      </w:r>
      <w:r w:rsidR="00C47B97">
        <w:rPr>
          <w:rFonts w:ascii="Bahnschrift" w:hAnsi="Bahnschrift" w:cs="Open Sans"/>
          <w:noProof/>
        </w:rPr>
        <w:t xml:space="preserve">+ THF a polymer PET </w:t>
      </w:r>
      <w:r w:rsidRPr="00C47B97">
        <w:rPr>
          <w:rFonts w:ascii="Bahnschrift" w:hAnsi="Bahnschrift" w:cs="Open Sans"/>
          <w:noProof/>
        </w:rPr>
        <w:t>zpracován graf závislosti Ra = f(R1).</w:t>
      </w:r>
    </w:p>
    <w:p w14:paraId="1981C48D" w14:textId="77777777" w:rsidR="00DB5AC1" w:rsidRPr="00C47B97" w:rsidRDefault="00DB5AC1" w:rsidP="00DB5AC1">
      <w:pPr>
        <w:pStyle w:val="Zhlav"/>
        <w:spacing w:before="0" w:after="0" w:line="300" w:lineRule="auto"/>
        <w:jc w:val="both"/>
        <w:rPr>
          <w:rFonts w:ascii="Bahnschrift" w:hAnsi="Bahnschrift" w:cs="Open Sans"/>
          <w:noProof/>
        </w:rPr>
      </w:pPr>
    </w:p>
    <w:p w14:paraId="225E0F38" w14:textId="77777777" w:rsidR="00DB5AC1" w:rsidRPr="00C52E82" w:rsidRDefault="00DB5AC1" w:rsidP="00DB5AC1">
      <w:pPr>
        <w:pStyle w:val="Zhlav"/>
        <w:spacing w:before="0" w:after="0" w:line="300" w:lineRule="auto"/>
        <w:jc w:val="center"/>
        <w:rPr>
          <w:rFonts w:ascii="Bahnschrift" w:hAnsi="Bahnschrift" w:cs="Open Sans"/>
          <w:noProof/>
          <w:lang w:val="en-GB"/>
        </w:rPr>
      </w:pPr>
      <w:r w:rsidRPr="00C52E82">
        <w:rPr>
          <w:rFonts w:ascii="Bahnschrift" w:hAnsi="Bahnschrift" w:cs="Open Sans"/>
          <w:noProof/>
        </w:rPr>
        <w:drawing>
          <wp:inline distT="0" distB="0" distL="0" distR="0" wp14:anchorId="349084E8" wp14:editId="584710DF">
            <wp:extent cx="4559300" cy="2702378"/>
            <wp:effectExtent l="0" t="0" r="12700" b="3175"/>
            <wp:docPr id="935217261" name="Graf 935217261">
              <a:extLst xmlns:a="http://schemas.openxmlformats.org/drawingml/2006/main">
                <a:ext uri="{FF2B5EF4-FFF2-40B4-BE49-F238E27FC236}">
                  <a16:creationId xmlns:a16="http://schemas.microsoft.com/office/drawing/2014/main" id="{CC4E4318-C563-48EC-A767-5E1878BAB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7AA174" w14:textId="77777777" w:rsidR="00DB5AC1" w:rsidRPr="00C52E82" w:rsidRDefault="00DB5AC1" w:rsidP="00DB5AC1">
      <w:pPr>
        <w:pStyle w:val="Zhlav"/>
        <w:spacing w:before="0" w:after="0" w:line="300" w:lineRule="auto"/>
        <w:jc w:val="both"/>
        <w:rPr>
          <w:rFonts w:ascii="Bahnschrift" w:hAnsi="Bahnschrift" w:cs="Open Sans"/>
          <w:noProof/>
          <w:lang w:val="en-GB"/>
        </w:rPr>
      </w:pPr>
    </w:p>
    <w:p w14:paraId="6095BF94" w14:textId="77777777" w:rsidR="003D50E4" w:rsidRPr="00B22145" w:rsidRDefault="003D50E4" w:rsidP="00951174">
      <w:pPr>
        <w:pStyle w:val="Zhlav"/>
        <w:spacing w:before="0" w:after="0" w:line="300" w:lineRule="auto"/>
        <w:jc w:val="both"/>
        <w:rPr>
          <w:rFonts w:ascii="Signika" w:hAnsi="Signika"/>
          <w:bCs/>
          <w:iCs/>
          <w:noProof/>
        </w:rPr>
      </w:pPr>
      <w:r w:rsidRPr="00B22145">
        <w:rPr>
          <w:rFonts w:ascii="Signika" w:hAnsi="Signika"/>
          <w:bCs/>
          <w:iCs/>
          <w:noProof/>
        </w:rPr>
        <w:t xml:space="preserve">   </w:t>
      </w:r>
    </w:p>
    <w:p w14:paraId="6BE38D5E" w14:textId="77777777" w:rsidR="003D50E4" w:rsidRPr="00402E67" w:rsidRDefault="003D50E4" w:rsidP="00951174">
      <w:pPr>
        <w:pStyle w:val="Zhlav"/>
        <w:spacing w:before="0" w:after="0" w:line="300" w:lineRule="auto"/>
        <w:rPr>
          <w:rFonts w:ascii="Bahnschrift SemiBold" w:hAnsi="Bahnschrift SemiBold"/>
          <w:iCs/>
          <w:noProof/>
        </w:rPr>
      </w:pPr>
      <w:r w:rsidRPr="00402E67">
        <w:rPr>
          <w:rFonts w:ascii="Bahnschrift SemiBold" w:hAnsi="Bahnschrift SemiBold"/>
          <w:iCs/>
          <w:noProof/>
        </w:rPr>
        <w:t>ZÁVĚR:</w:t>
      </w:r>
    </w:p>
    <w:p w14:paraId="1DC0246D" w14:textId="1711D504" w:rsidR="00DB5AC1" w:rsidRDefault="00DB5AC1" w:rsidP="00DB5AC1">
      <w:pPr>
        <w:pStyle w:val="Zhlav"/>
        <w:spacing w:before="0" w:after="0" w:line="300" w:lineRule="auto"/>
        <w:rPr>
          <w:rFonts w:ascii="Bahnschrift" w:hAnsi="Bahnschrift" w:cs="Open Sans"/>
          <w:iCs/>
        </w:rPr>
      </w:pPr>
      <w:r w:rsidRPr="00C52E82">
        <w:rPr>
          <w:rFonts w:ascii="Bahnschrift" w:hAnsi="Bahnschrift" w:cs="Open Sans"/>
          <w:iCs/>
        </w:rPr>
        <w:t>Směs rozpouštědel N-</w:t>
      </w:r>
      <w:r w:rsidR="006837CA" w:rsidRPr="00C52E82">
        <w:rPr>
          <w:rFonts w:ascii="Bahnschrift" w:hAnsi="Bahnschrift" w:cs="Open Sans"/>
          <w:iCs/>
        </w:rPr>
        <w:t>Methylpy</w:t>
      </w:r>
      <w:r w:rsidR="006837CA">
        <w:rPr>
          <w:rFonts w:ascii="Bahnschrift" w:hAnsi="Bahnschrift" w:cs="Open Sans"/>
          <w:iCs/>
        </w:rPr>
        <w:t>r</w:t>
      </w:r>
      <w:r w:rsidR="006837CA" w:rsidRPr="00C52E82">
        <w:rPr>
          <w:rFonts w:ascii="Bahnschrift" w:hAnsi="Bahnschrift" w:cs="Open Sans"/>
          <w:iCs/>
        </w:rPr>
        <w:t>rolido</w:t>
      </w:r>
      <w:r w:rsidR="006837CA">
        <w:rPr>
          <w:rFonts w:ascii="Bahnschrift" w:hAnsi="Bahnschrift" w:cs="Open Sans"/>
          <w:iCs/>
        </w:rPr>
        <w:t>nu</w:t>
      </w:r>
      <w:r w:rsidRPr="00C52E82">
        <w:rPr>
          <w:rFonts w:ascii="Bahnschrift" w:hAnsi="Bahnschrift" w:cs="Open Sans"/>
          <w:iCs/>
        </w:rPr>
        <w:t xml:space="preserve"> a tetrahydrofuran</w:t>
      </w:r>
      <w:r>
        <w:rPr>
          <w:rFonts w:ascii="Bahnschrift" w:hAnsi="Bahnschrift" w:cs="Open Sans"/>
          <w:iCs/>
        </w:rPr>
        <w:t>u</w:t>
      </w:r>
      <w:r w:rsidRPr="00C52E82">
        <w:rPr>
          <w:rFonts w:ascii="Bahnschrift" w:hAnsi="Bahnschrift" w:cs="Open Sans"/>
          <w:iCs/>
        </w:rPr>
        <w:t xml:space="preserve"> se vyznačuje nejvyšší agresivitou vůči PET </w:t>
      </w:r>
      <w:r>
        <w:rPr>
          <w:rFonts w:ascii="Bahnschrift" w:hAnsi="Bahnschrift" w:cs="Open Sans"/>
          <w:iCs/>
        </w:rPr>
        <w:t xml:space="preserve">rozsahu </w:t>
      </w:r>
      <w:r w:rsidRPr="00C52E82">
        <w:rPr>
          <w:rFonts w:ascii="Bahnschrift" w:hAnsi="Bahnschrift" w:cs="Open Sans"/>
          <w:iCs/>
        </w:rPr>
        <w:t>0–65 %</w:t>
      </w:r>
      <w:r>
        <w:rPr>
          <w:rFonts w:ascii="Bahnschrift" w:hAnsi="Bahnschrift" w:cs="Open Sans"/>
          <w:iCs/>
        </w:rPr>
        <w:t xml:space="preserve"> NMP s maximem 25 % NMP</w:t>
      </w:r>
      <w:r w:rsidRPr="00C52E82">
        <w:rPr>
          <w:rFonts w:ascii="Bahnschrift" w:hAnsi="Bahnschrift" w:cs="Open Sans"/>
          <w:iCs/>
        </w:rPr>
        <w:t xml:space="preserve">. </w:t>
      </w:r>
    </w:p>
    <w:p w14:paraId="5C2AB334" w14:textId="77777777" w:rsidR="00402E67" w:rsidRDefault="00402E67" w:rsidP="00951174">
      <w:pPr>
        <w:pStyle w:val="Zhlav"/>
        <w:spacing w:before="0" w:after="0" w:line="300" w:lineRule="auto"/>
        <w:rPr>
          <w:rFonts w:ascii="Signika" w:hAnsi="Signika" w:cs="Tahoma"/>
        </w:rPr>
      </w:pPr>
    </w:p>
    <w:p w14:paraId="517B5F7E" w14:textId="201DAE31" w:rsidR="00DB5AC1" w:rsidRDefault="003D50E4" w:rsidP="00DB5AC1">
      <w:pPr>
        <w:pStyle w:val="Zhlav"/>
        <w:spacing w:before="0" w:after="0" w:line="300" w:lineRule="auto"/>
        <w:rPr>
          <w:rFonts w:ascii="Cambria" w:hAnsi="Cambria"/>
          <w:noProof/>
          <w:sz w:val="18"/>
          <w:szCs w:val="18"/>
        </w:rPr>
      </w:pPr>
      <w:r w:rsidRPr="00B22145">
        <w:rPr>
          <w:rFonts w:ascii="Signika" w:hAnsi="Signika" w:cs="Tahoma"/>
        </w:rPr>
        <w:t xml:space="preserve">       </w:t>
      </w:r>
    </w:p>
    <w:p w14:paraId="7B98E979" w14:textId="57C98368" w:rsidR="003D50E4" w:rsidRPr="00EA50EF" w:rsidRDefault="003D50E4" w:rsidP="003D50E4">
      <w:pPr>
        <w:pStyle w:val="Zhlav"/>
        <w:spacing w:line="276" w:lineRule="auto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       </w:t>
      </w:r>
      <w:r w:rsidRPr="00EA50EF">
        <w:rPr>
          <w:rFonts w:ascii="Cambria" w:hAnsi="Cambria"/>
          <w:noProof/>
          <w:sz w:val="18"/>
          <w:szCs w:val="18"/>
        </w:rPr>
        <w:t xml:space="preserve"> </w:t>
      </w:r>
      <w:r>
        <w:rPr>
          <w:rFonts w:ascii="Cambria" w:hAnsi="Cambria"/>
          <w:noProof/>
          <w:sz w:val="18"/>
          <w:szCs w:val="18"/>
        </w:rPr>
        <w:t xml:space="preserve">  </w:t>
      </w:r>
      <w:bookmarkEnd w:id="0"/>
    </w:p>
    <w:sectPr w:rsidR="003D50E4" w:rsidRPr="00EA50EF" w:rsidSect="00327F8C">
      <w:headerReference w:type="default" r:id="rId9"/>
      <w:footerReference w:type="default" r:id="rId10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DDB4" w14:textId="77777777" w:rsidR="00327F8C" w:rsidRDefault="00327F8C" w:rsidP="00D232B5">
      <w:pPr>
        <w:spacing w:line="240" w:lineRule="auto"/>
      </w:pPr>
      <w:r>
        <w:separator/>
      </w:r>
    </w:p>
  </w:endnote>
  <w:endnote w:type="continuationSeparator" w:id="0">
    <w:p w14:paraId="41AF74E7" w14:textId="77777777" w:rsidR="00327F8C" w:rsidRDefault="00327F8C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EE"/>
    <w:family w:val="auto"/>
    <w:pitch w:val="variable"/>
    <w:sig w:usb0="A00000EF" w:usb1="4000004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D24402" w:rsidP="000B6EBF">
        <w:pPr>
          <w:pStyle w:val="Zpat"/>
          <w:jc w:val="center"/>
        </w:pPr>
        <w:r>
          <w:pict w14:anchorId="54A197B2">
            <v:rect id="_x0000_i102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F23E" w14:textId="77777777" w:rsidR="00327F8C" w:rsidRDefault="00327F8C" w:rsidP="00D232B5">
      <w:pPr>
        <w:spacing w:line="240" w:lineRule="auto"/>
      </w:pPr>
      <w:r>
        <w:separator/>
      </w:r>
    </w:p>
  </w:footnote>
  <w:footnote w:type="continuationSeparator" w:id="0">
    <w:p w14:paraId="0EFFB763" w14:textId="77777777" w:rsidR="00327F8C" w:rsidRDefault="00327F8C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D24402">
      <w:pict w14:anchorId="3D277F4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1"/>
  </w:num>
  <w:num w:numId="2" w16cid:durableId="1041519188">
    <w:abstractNumId w:val="3"/>
  </w:num>
  <w:num w:numId="3" w16cid:durableId="580220408">
    <w:abstractNumId w:val="9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7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8"/>
  </w:num>
  <w:num w:numId="11" w16cid:durableId="371347231">
    <w:abstractNumId w:val="10"/>
  </w:num>
  <w:num w:numId="12" w16cid:durableId="150820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C331F"/>
    <w:rsid w:val="000F162F"/>
    <w:rsid w:val="000F2B66"/>
    <w:rsid w:val="000F6D05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97C58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03FCB"/>
    <w:rsid w:val="00312F5C"/>
    <w:rsid w:val="00317AD4"/>
    <w:rsid w:val="00324BB2"/>
    <w:rsid w:val="00327F8C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45B"/>
    <w:rsid w:val="003D3FEB"/>
    <w:rsid w:val="003D50E4"/>
    <w:rsid w:val="003D7DE1"/>
    <w:rsid w:val="003E3F99"/>
    <w:rsid w:val="003F1003"/>
    <w:rsid w:val="003F7B9F"/>
    <w:rsid w:val="0040028E"/>
    <w:rsid w:val="00402E67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837CA"/>
    <w:rsid w:val="006917CA"/>
    <w:rsid w:val="0069323C"/>
    <w:rsid w:val="0069378F"/>
    <w:rsid w:val="006A3D7D"/>
    <w:rsid w:val="006B76FF"/>
    <w:rsid w:val="006C5ACB"/>
    <w:rsid w:val="006C7A59"/>
    <w:rsid w:val="006D2C45"/>
    <w:rsid w:val="006F0228"/>
    <w:rsid w:val="00707A3B"/>
    <w:rsid w:val="0071203F"/>
    <w:rsid w:val="00720F94"/>
    <w:rsid w:val="00721C63"/>
    <w:rsid w:val="00724CC7"/>
    <w:rsid w:val="00732670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1174"/>
    <w:rsid w:val="0095641F"/>
    <w:rsid w:val="00957C06"/>
    <w:rsid w:val="00960FFD"/>
    <w:rsid w:val="0096113B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146DB"/>
    <w:rsid w:val="00A26E57"/>
    <w:rsid w:val="00A27C8B"/>
    <w:rsid w:val="00A31590"/>
    <w:rsid w:val="00A33151"/>
    <w:rsid w:val="00A57650"/>
    <w:rsid w:val="00A9259D"/>
    <w:rsid w:val="00A959EC"/>
    <w:rsid w:val="00AA3232"/>
    <w:rsid w:val="00AA4468"/>
    <w:rsid w:val="00AB00C0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83359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26A8D"/>
    <w:rsid w:val="00C3423A"/>
    <w:rsid w:val="00C444E1"/>
    <w:rsid w:val="00C45F82"/>
    <w:rsid w:val="00C460AC"/>
    <w:rsid w:val="00C47B97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A47C1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4402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B5AC1"/>
    <w:rsid w:val="00DC0F42"/>
    <w:rsid w:val="00DC11A0"/>
    <w:rsid w:val="00DC1369"/>
    <w:rsid w:val="00DC250C"/>
    <w:rsid w:val="00DC3F92"/>
    <w:rsid w:val="00DD07BF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65073"/>
    <w:rsid w:val="00E7121D"/>
    <w:rsid w:val="00E73661"/>
    <w:rsid w:val="00E73CBF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E4452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B5CC7"/>
    <w:rsid w:val="00FC2B3F"/>
    <w:rsid w:val="00FC62A1"/>
    <w:rsid w:val="00FC7A1F"/>
    <w:rsid w:val="00FD6DF7"/>
    <w:rsid w:val="00FE1305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paragraph" w:customStyle="1" w:styleId="Icon">
    <w:name w:val="Icon"/>
    <w:basedOn w:val="Normln"/>
    <w:uiPriority w:val="99"/>
    <w:semiHidden/>
    <w:qFormat/>
    <w:rsid w:val="00951174"/>
    <w:pPr>
      <w:spacing w:before="160" w:after="160" w:line="240" w:lineRule="auto"/>
      <w:jc w:val="center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k&#233;ta\Desktop\Vy&#353;&#353;&#237;%20d&#237;v&#269;&#237;\STUDOVAT!!!\Povrchov&#233;%20&#250;pravy\rozpustnos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Vliv směsi tetrahydrofuranu </a:t>
            </a:r>
          </a:p>
          <a:p>
            <a:pPr>
              <a:defRPr/>
            </a:pP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a N-Methylpyrrolidonu na odolnost</a:t>
            </a:r>
            <a:r>
              <a:rPr lang="cs-CZ" baseline="0">
                <a:latin typeface="Calibri" panose="020F0502020204030204" pitchFamily="34" charset="0"/>
                <a:cs typeface="Calibri" panose="020F0502020204030204" pitchFamily="34" charset="0"/>
              </a:rPr>
              <a:t> </a:t>
            </a: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PET (Ra &lt; 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List1!$A$1:$K$1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List1!$A$2:$K$2</c:f>
              <c:numCache>
                <c:formatCode>General</c:formatCode>
                <c:ptCount val="11"/>
                <c:pt idx="0">
                  <c:v>3.2</c:v>
                </c:pt>
                <c:pt idx="1">
                  <c:v>2.9</c:v>
                </c:pt>
                <c:pt idx="2">
                  <c:v>2.7</c:v>
                </c:pt>
                <c:pt idx="3">
                  <c:v>2.7</c:v>
                </c:pt>
                <c:pt idx="4">
                  <c:v>2.9</c:v>
                </c:pt>
                <c:pt idx="5">
                  <c:v>3.2</c:v>
                </c:pt>
                <c:pt idx="6">
                  <c:v>3.7</c:v>
                </c:pt>
                <c:pt idx="7">
                  <c:v>4.2</c:v>
                </c:pt>
                <c:pt idx="8">
                  <c:v>4.7</c:v>
                </c:pt>
                <c:pt idx="9">
                  <c:v>5.3</c:v>
                </c:pt>
                <c:pt idx="10">
                  <c:v>5.9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DD6-4D58-9F3F-63A3AE55E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801496"/>
        <c:axId val="322798544"/>
      </c:scatterChart>
      <c:valAx>
        <c:axId val="32280149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cs-CZ">
                    <a:latin typeface="Calibri" panose="020F0502020204030204" pitchFamily="34" charset="0"/>
                    <a:cs typeface="Calibri" panose="020F0502020204030204" pitchFamily="34" charset="0"/>
                  </a:rPr>
                  <a:t>Obsah NMP ve směsi</a:t>
                </a:r>
                <a:r>
                  <a:rPr lang="cs-CZ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 (%)</a:t>
                </a:r>
                <a:endParaRPr lang="cs-CZ">
                  <a:latin typeface="Calibri" panose="020F0502020204030204" pitchFamily="34" charset="0"/>
                  <a:cs typeface="Calibri" panose="020F0502020204030204" pitchFamily="34" charset="0"/>
                </a:endParaRPr>
              </a:p>
            </c:rich>
          </c:tx>
          <c:layout>
            <c:manualLayout>
              <c:xMode val="edge"/>
              <c:yMode val="edge"/>
              <c:x val="0.35810453359068273"/>
              <c:y val="0.881548155481739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322798544"/>
        <c:crosses val="autoZero"/>
        <c:crossBetween val="midCat"/>
        <c:majorUnit val="10"/>
      </c:valAx>
      <c:valAx>
        <c:axId val="32279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cs-CZ">
                    <a:latin typeface="Calibri" panose="020F0502020204030204" pitchFamily="34" charset="0"/>
                    <a:cs typeface="Calibri" panose="020F0502020204030204" pitchFamily="34" charset="0"/>
                  </a:rPr>
                  <a:t>Ra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3228014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0.10799</cdr:x>
      <cdr:y>0.48408</cdr:y>
    </cdr:from>
    <cdr:to>
      <cdr:x>0.95493</cdr:x>
      <cdr:y>0.48408</cdr:y>
    </cdr:to>
    <cdr:cxnSp macro="">
      <cdr:nvCxnSpPr>
        <cdr:cNvPr id="3" name="Přímá spojnice 2">
          <a:extLst xmlns:a="http://schemas.openxmlformats.org/drawingml/2006/main">
            <a:ext uri="{FF2B5EF4-FFF2-40B4-BE49-F238E27FC236}">
              <a16:creationId xmlns:a16="http://schemas.microsoft.com/office/drawing/2014/main" id="{CAD7A332-6B18-459A-80C1-DC99729443CD}"/>
            </a:ext>
          </a:extLst>
        </cdr:cNvPr>
        <cdr:cNvCxnSpPr/>
      </cdr:nvCxnSpPr>
      <cdr:spPr>
        <a:xfrm xmlns:a="http://schemas.openxmlformats.org/drawingml/2006/main">
          <a:off x="492369" y="1307957"/>
          <a:ext cx="3861461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0.66494</cdr:x>
      <cdr:y>0.28835</cdr:y>
    </cdr:from>
    <cdr:to>
      <cdr:x>0.95145</cdr:x>
      <cdr:y>0.56697</cdr:y>
    </cdr:to>
    <cdr:sp macro="" textlink="">
      <cdr:nvSpPr>
        <cdr:cNvPr id="2" name="Obdélník 1">
          <a:extLst xmlns:a="http://schemas.openxmlformats.org/drawingml/2006/main">
            <a:ext uri="{FF2B5EF4-FFF2-40B4-BE49-F238E27FC236}">
              <a16:creationId xmlns:a16="http://schemas.microsoft.com/office/drawing/2014/main" id="{10DE01EA-BAEC-47B0-A242-B7F407FE4428}"/>
            </a:ext>
          </a:extLst>
        </cdr:cNvPr>
        <cdr:cNvSpPr/>
      </cdr:nvSpPr>
      <cdr:spPr>
        <a:xfrm xmlns:a="http://schemas.openxmlformats.org/drawingml/2006/main">
          <a:off x="3031671" y="779235"/>
          <a:ext cx="1306286" cy="7529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rgbClr val="92D050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2024-02-20T09:22:00Z</cp:lastPrinted>
  <dcterms:created xsi:type="dcterms:W3CDTF">2024-03-22T09:30:00Z</dcterms:created>
  <dcterms:modified xsi:type="dcterms:W3CDTF">2024-03-22T09:30:00Z</dcterms:modified>
</cp:coreProperties>
</file>