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43" w:rsidRDefault="00213043" w:rsidP="00213043">
      <w:pPr>
        <w:jc w:val="center"/>
        <w:rPr>
          <w:b/>
        </w:rPr>
      </w:pPr>
      <w:r>
        <w:rPr>
          <w:b/>
        </w:rPr>
        <w:t>Doplňující n</w:t>
      </w:r>
      <w:r w:rsidR="00470F97" w:rsidRPr="00213043">
        <w:rPr>
          <w:b/>
        </w:rPr>
        <w:t>ávod na zpracování experimentálních dat v</w:t>
      </w:r>
      <w:r w:rsidR="00EB0CE7" w:rsidRPr="00213043">
        <w:rPr>
          <w:b/>
        </w:rPr>
        <w:t> předmětu</w:t>
      </w:r>
    </w:p>
    <w:p w:rsidR="00497004" w:rsidRPr="00213043" w:rsidRDefault="00EB0CE7" w:rsidP="00213043">
      <w:pPr>
        <w:jc w:val="center"/>
        <w:rPr>
          <w:b/>
        </w:rPr>
      </w:pPr>
      <w:r w:rsidRPr="00213043">
        <w:rPr>
          <w:b/>
        </w:rPr>
        <w:t xml:space="preserve">Metody </w:t>
      </w:r>
      <w:r w:rsidR="00470F97" w:rsidRPr="00213043">
        <w:rPr>
          <w:b/>
        </w:rPr>
        <w:t>chemického výzkumu</w:t>
      </w:r>
      <w:r w:rsidRPr="00213043">
        <w:rPr>
          <w:b/>
        </w:rPr>
        <w:t xml:space="preserve"> – praktikum</w:t>
      </w:r>
    </w:p>
    <w:p w:rsidR="00470F97" w:rsidRPr="00213043" w:rsidRDefault="00470F97" w:rsidP="00D8765A">
      <w:pPr>
        <w:jc w:val="both"/>
      </w:pPr>
      <w:r w:rsidRPr="00213043">
        <w:t>Ve všech úlohách, kde se stanovuje koncentrace analytu ve vzorku, je třeba prezentovat výsledek odpovídajícím způsobem. Uvádíme tedy interval spolehlivosti, který vypočítáme v závislosti na tom, zda byla nebo nebyla ke kvantifikaci použita kalibrační závislost.</w:t>
      </w:r>
      <w:r w:rsidR="00927436" w:rsidRPr="00213043">
        <w:t xml:space="preserve"> Změříme-li několikrát signál vzorku a koncentraci analytu v něm vypočítáme z rovnice kalibrační závislosti, nestačí výpočet nejistoty dle </w:t>
      </w:r>
      <w:proofErr w:type="spellStart"/>
      <w:r w:rsidR="00927436" w:rsidRPr="00213043">
        <w:t>Dean</w:t>
      </w:r>
      <w:proofErr w:type="spellEnd"/>
      <w:r w:rsidR="00927436" w:rsidRPr="00213043">
        <w:t>-</w:t>
      </w:r>
      <w:proofErr w:type="spellStart"/>
      <w:r w:rsidR="00927436" w:rsidRPr="00213043">
        <w:t>Dixona</w:t>
      </w:r>
      <w:proofErr w:type="spellEnd"/>
      <w:r w:rsidR="00D719BD" w:rsidRPr="00213043">
        <w:t>, Horna, Studentova rozdělení</w:t>
      </w:r>
      <w:r w:rsidR="00927436" w:rsidRPr="00213043">
        <w:t xml:space="preserve"> nebo jiného přímého postupu pro zpracování souboru opakovaných měření. Tím bychom zanedbali </w:t>
      </w:r>
      <w:r w:rsidR="003E3D9B" w:rsidRPr="00213043">
        <w:t xml:space="preserve">velmi významný </w:t>
      </w:r>
      <w:r w:rsidR="00927436" w:rsidRPr="00213043">
        <w:t>příspěvek rozptylu bodů v kalibrační závislosti. Proto je třeba použít vztahy na str. 163 skript Metody</w:t>
      </w:r>
      <w:r w:rsidR="00C12F7D" w:rsidRPr="00213043">
        <w:t xml:space="preserve"> </w:t>
      </w:r>
      <w:r w:rsidR="00927436" w:rsidRPr="00213043">
        <w:t>chemického výzkumu</w:t>
      </w:r>
      <w:r w:rsidR="00B860E7" w:rsidRPr="00213043">
        <w:t xml:space="preserve"> – </w:t>
      </w:r>
      <w:r w:rsidR="00C12F7D" w:rsidRPr="00213043">
        <w:t>praktikum</w:t>
      </w:r>
      <w:r w:rsidR="00D719BD" w:rsidRPr="00213043">
        <w:t>, které platí pro kalibrační přímku</w:t>
      </w:r>
      <w:r w:rsidR="00C12F7D" w:rsidRPr="00213043">
        <w:t xml:space="preserve">. Má-li kalibrační přímka kladný úsek, použijeme horní vztah, prochází-li počátkem </w:t>
      </w:r>
      <w:r w:rsidR="00443E06" w:rsidRPr="00213043">
        <w:t xml:space="preserve">soustavy </w:t>
      </w:r>
      <w:r w:rsidR="00C12F7D" w:rsidRPr="00213043">
        <w:t>souřadnic (úsek je nulový</w:t>
      </w:r>
      <w:r w:rsidR="00AA467A" w:rsidRPr="00213043">
        <w:t xml:space="preserve"> – je třeba otestovat</w:t>
      </w:r>
      <w:r w:rsidR="00C12F7D" w:rsidRPr="00213043">
        <w:t>), použijeme vztah dolní.</w:t>
      </w:r>
      <w:r w:rsidR="00D719BD" w:rsidRPr="00213043">
        <w:t xml:space="preserve"> Nezapomeneme vynést do grafu</w:t>
      </w:r>
      <w:r w:rsidR="00DC015F">
        <w:t xml:space="preserve"> (a rovněž zahrnout do výpočtu)</w:t>
      </w:r>
      <w:r w:rsidR="00D719BD" w:rsidRPr="00213043">
        <w:t xml:space="preserve"> všechny body kalibrační závislosti. To znamená, že měřil-li se každý bod vícekrát (např. </w:t>
      </w:r>
      <w:r w:rsidR="005765DC" w:rsidRPr="00213043">
        <w:t>3</w:t>
      </w:r>
      <w:r w:rsidR="00E945B6" w:rsidRPr="00213043">
        <w:rPr>
          <w:rFonts w:cstheme="minorHAnsi"/>
        </w:rPr>
        <w:t>×</w:t>
      </w:r>
      <w:r w:rsidR="00D719BD" w:rsidRPr="00213043">
        <w:t xml:space="preserve">), </w:t>
      </w:r>
      <w:r w:rsidR="00D8765A" w:rsidRPr="00213043">
        <w:t>nevynášíme průměry těchto bodů ani chybové úsečky</w:t>
      </w:r>
      <w:r w:rsidR="007369F9" w:rsidRPr="00213043">
        <w:t xml:space="preserve"> (pokud nejsou přímo požadovány)</w:t>
      </w:r>
      <w:r w:rsidR="00D8765A" w:rsidRPr="00213043">
        <w:t xml:space="preserve">, ale </w:t>
      </w:r>
      <w:r w:rsidR="00D719BD" w:rsidRPr="00213043">
        <w:t>vyneseme pro jednu koncentraci všechny hodnoty signálu nad sebou. Počet bodů v grafu nebude roven počtu proměřených koncentrací, ale počtu opakování měření každé koncentrace náso</w:t>
      </w:r>
      <w:r w:rsidR="00353F60" w:rsidRPr="00213043">
        <w:t>bený počtem koncentrací (např. 3</w:t>
      </w:r>
      <w:r w:rsidR="00D719BD" w:rsidRPr="00213043">
        <w:t xml:space="preserve"> opakování krát </w:t>
      </w:r>
      <w:r w:rsidR="00B10B4E" w:rsidRPr="00213043">
        <w:t>5</w:t>
      </w:r>
      <w:r w:rsidR="00D719BD" w:rsidRPr="00213043">
        <w:t xml:space="preserve"> koncentrac</w:t>
      </w:r>
      <w:r w:rsidR="00B10B4E" w:rsidRPr="00213043">
        <w:t>í</w:t>
      </w:r>
      <w:r w:rsidR="00D719BD" w:rsidRPr="00213043">
        <w:t xml:space="preserve">, tj. </w:t>
      </w:r>
      <w:r w:rsidR="00353F60" w:rsidRPr="00213043">
        <w:rPr>
          <w:i/>
        </w:rPr>
        <w:t>n</w:t>
      </w:r>
      <w:r w:rsidR="00353F60" w:rsidRPr="00213043">
        <w:t xml:space="preserve"> = </w:t>
      </w:r>
      <w:r w:rsidR="00B10B4E" w:rsidRPr="00213043">
        <w:t>15</w:t>
      </w:r>
      <w:r w:rsidR="00D719BD" w:rsidRPr="00213043">
        <w:t xml:space="preserve"> bodů).</w:t>
      </w:r>
      <w:r w:rsidR="00353F60" w:rsidRPr="00213043">
        <w:t xml:space="preserve"> </w:t>
      </w:r>
      <w:r w:rsidR="0075669A" w:rsidRPr="00213043">
        <w:t>Z technických důvodů se může stát, že různé koncentrace nejsou proměřeny se stejným počtem opakování. Některé např. 5</w:t>
      </w:r>
      <w:r w:rsidR="005E044C" w:rsidRPr="00213043">
        <w:rPr>
          <w:rFonts w:cstheme="minorHAnsi"/>
        </w:rPr>
        <w:t>×</w:t>
      </w:r>
      <w:r w:rsidR="0075669A" w:rsidRPr="00213043">
        <w:t>, některé 3</w:t>
      </w:r>
      <w:r w:rsidR="005E044C" w:rsidRPr="00213043">
        <w:rPr>
          <w:rFonts w:cstheme="minorHAnsi"/>
        </w:rPr>
        <w:t>×</w:t>
      </w:r>
      <w:r w:rsidR="0075669A" w:rsidRPr="00213043">
        <w:t>, jiné zase 2</w:t>
      </w:r>
      <w:r w:rsidR="005E044C" w:rsidRPr="00213043">
        <w:rPr>
          <w:rFonts w:cstheme="minorHAnsi"/>
        </w:rPr>
        <w:t>×</w:t>
      </w:r>
      <w:r w:rsidR="0075669A" w:rsidRPr="00213043">
        <w:t>. To však nijak nemění postup zpracování dat. Jen celkový počet bodů v grafu nebude násobkem počtu proměřených koncentrací, ale součtem zahrnujícím opakovaná měření všech koncentrací. Můžeme tudíž statisticky vyhodnotit i kalibrační p</w:t>
      </w:r>
      <w:r w:rsidR="003E3D9B" w:rsidRPr="00213043">
        <w:t>římku ze dvou</w:t>
      </w:r>
      <w:r w:rsidR="0075669A" w:rsidRPr="00213043">
        <w:t xml:space="preserve"> koncentrací, kdy </w:t>
      </w:r>
      <w:r w:rsidR="003E3D9B" w:rsidRPr="00213043">
        <w:t>jedna</w:t>
      </w:r>
      <w:r w:rsidR="0075669A" w:rsidRPr="00213043">
        <w:t xml:space="preserve"> byla proměřena 2</w:t>
      </w:r>
      <w:r w:rsidR="005E044C" w:rsidRPr="00213043">
        <w:rPr>
          <w:rFonts w:cstheme="minorHAnsi"/>
        </w:rPr>
        <w:t>×</w:t>
      </w:r>
      <w:r w:rsidR="00EF1AB7" w:rsidRPr="00213043">
        <w:t xml:space="preserve"> a druhá jen jednou, protože již máme k dispozici 3 body, které mají vzhledem k přímce nenulový rozptyl. </w:t>
      </w:r>
      <w:r w:rsidR="00353F60" w:rsidRPr="00213043">
        <w:t xml:space="preserve">V Excelu </w:t>
      </w:r>
      <w:r w:rsidR="00B10B4E" w:rsidRPr="00213043">
        <w:t xml:space="preserve">nebo </w:t>
      </w:r>
      <w:proofErr w:type="spellStart"/>
      <w:r w:rsidR="00B10B4E" w:rsidRPr="00213043">
        <w:t>Originu</w:t>
      </w:r>
      <w:proofErr w:type="spellEnd"/>
      <w:r w:rsidR="00B10B4E" w:rsidRPr="00213043">
        <w:t xml:space="preserve"> </w:t>
      </w:r>
      <w:r w:rsidR="00353F60" w:rsidRPr="00213043">
        <w:t xml:space="preserve">můžeme </w:t>
      </w:r>
      <w:r w:rsidR="00F12F60" w:rsidRPr="00213043">
        <w:t xml:space="preserve">vícekrát </w:t>
      </w:r>
      <w:r w:rsidR="00353F60" w:rsidRPr="00213043">
        <w:t>zapsat do levého sloupce stejnou hodnotu koncentrace a do pr</w:t>
      </w:r>
      <w:r w:rsidR="00E74D2F" w:rsidRPr="00213043">
        <w:t>avého sloupce příslušné signály</w:t>
      </w:r>
      <w:r w:rsidR="00E8254B" w:rsidRPr="00213043">
        <w:t>, např.</w:t>
      </w:r>
      <w:r w:rsidR="00E74D2F" w:rsidRPr="00213043">
        <w:t>:</w:t>
      </w:r>
    </w:p>
    <w:tbl>
      <w:tblPr>
        <w:tblStyle w:val="Mkatabulky"/>
        <w:tblW w:w="0" w:type="auto"/>
        <w:tblInd w:w="108" w:type="dxa"/>
        <w:tblLook w:val="04A0"/>
      </w:tblPr>
      <w:tblGrid>
        <w:gridCol w:w="993"/>
        <w:gridCol w:w="1199"/>
      </w:tblGrid>
      <w:tr w:rsidR="00353F60" w:rsidRPr="00213043" w:rsidTr="00E8254B">
        <w:tc>
          <w:tcPr>
            <w:tcW w:w="993" w:type="dxa"/>
          </w:tcPr>
          <w:p w:rsidR="00353F60" w:rsidRPr="00213043" w:rsidRDefault="00353F60" w:rsidP="00D8765A">
            <w:pPr>
              <w:jc w:val="both"/>
              <w:rPr>
                <w:lang w:val="en-US"/>
              </w:rPr>
            </w:pPr>
            <w:r w:rsidRPr="00213043">
              <w:t xml:space="preserve">c </w:t>
            </w:r>
            <w:r w:rsidRPr="00213043">
              <w:rPr>
                <w:lang w:val="en-US"/>
              </w:rPr>
              <w:t>[mg l</w:t>
            </w:r>
            <w:r w:rsidRPr="00213043">
              <w:rPr>
                <w:vertAlign w:val="superscript"/>
                <w:lang w:val="en-US"/>
              </w:rPr>
              <w:t>-1</w:t>
            </w:r>
            <w:r w:rsidRPr="00213043">
              <w:rPr>
                <w:lang w:val="en-US"/>
              </w:rPr>
              <w:t>]</w:t>
            </w:r>
          </w:p>
        </w:tc>
        <w:tc>
          <w:tcPr>
            <w:tcW w:w="1199" w:type="dxa"/>
          </w:tcPr>
          <w:p w:rsidR="00353F60" w:rsidRPr="00213043" w:rsidRDefault="00353F60" w:rsidP="00D8765A">
            <w:pPr>
              <w:jc w:val="both"/>
            </w:pPr>
            <w:r w:rsidRPr="00213043">
              <w:t xml:space="preserve">Signál </w:t>
            </w:r>
          </w:p>
        </w:tc>
      </w:tr>
      <w:tr w:rsidR="00353F60" w:rsidRPr="00213043" w:rsidTr="00E8254B">
        <w:tc>
          <w:tcPr>
            <w:tcW w:w="993" w:type="dxa"/>
          </w:tcPr>
          <w:p w:rsidR="00353F60" w:rsidRPr="00213043" w:rsidRDefault="00353F60" w:rsidP="00D8765A">
            <w:pPr>
              <w:jc w:val="both"/>
            </w:pPr>
            <w:r w:rsidRPr="00213043">
              <w:t>0</w:t>
            </w:r>
          </w:p>
        </w:tc>
        <w:tc>
          <w:tcPr>
            <w:tcW w:w="1199" w:type="dxa"/>
          </w:tcPr>
          <w:p w:rsidR="00353F60" w:rsidRPr="00213043" w:rsidRDefault="00B10B4E" w:rsidP="00D8765A">
            <w:pPr>
              <w:jc w:val="both"/>
            </w:pPr>
            <w:r w:rsidRPr="00213043">
              <w:t>2487</w:t>
            </w:r>
          </w:p>
        </w:tc>
      </w:tr>
      <w:tr w:rsidR="00353F60" w:rsidRPr="00213043" w:rsidTr="00E8254B">
        <w:tc>
          <w:tcPr>
            <w:tcW w:w="993" w:type="dxa"/>
          </w:tcPr>
          <w:p w:rsidR="00353F60" w:rsidRPr="00213043" w:rsidRDefault="00353F60" w:rsidP="00D8765A">
            <w:pPr>
              <w:jc w:val="both"/>
            </w:pPr>
            <w:r w:rsidRPr="00213043">
              <w:t>0</w:t>
            </w:r>
          </w:p>
        </w:tc>
        <w:tc>
          <w:tcPr>
            <w:tcW w:w="1199" w:type="dxa"/>
          </w:tcPr>
          <w:p w:rsidR="00353F60" w:rsidRPr="00213043" w:rsidRDefault="00B10B4E" w:rsidP="00D8765A">
            <w:pPr>
              <w:jc w:val="both"/>
            </w:pPr>
            <w:r w:rsidRPr="00213043">
              <w:t>2451</w:t>
            </w:r>
          </w:p>
        </w:tc>
      </w:tr>
      <w:tr w:rsidR="00353F60" w:rsidRPr="00213043" w:rsidTr="00E8254B">
        <w:tc>
          <w:tcPr>
            <w:tcW w:w="993" w:type="dxa"/>
          </w:tcPr>
          <w:p w:rsidR="00353F60" w:rsidRPr="00213043" w:rsidRDefault="00353F60" w:rsidP="00D8765A">
            <w:pPr>
              <w:jc w:val="both"/>
            </w:pPr>
            <w:r w:rsidRPr="00213043">
              <w:t>0</w:t>
            </w:r>
          </w:p>
        </w:tc>
        <w:tc>
          <w:tcPr>
            <w:tcW w:w="1199" w:type="dxa"/>
          </w:tcPr>
          <w:p w:rsidR="00353F60" w:rsidRPr="00213043" w:rsidRDefault="00B10B4E" w:rsidP="00D8765A">
            <w:pPr>
              <w:jc w:val="both"/>
            </w:pPr>
            <w:r w:rsidRPr="00213043">
              <w:t>2508</w:t>
            </w:r>
          </w:p>
        </w:tc>
      </w:tr>
      <w:tr w:rsidR="00353F60" w:rsidRPr="00213043" w:rsidTr="00E8254B">
        <w:tc>
          <w:tcPr>
            <w:tcW w:w="993" w:type="dxa"/>
          </w:tcPr>
          <w:p w:rsidR="00353F60" w:rsidRPr="00213043" w:rsidRDefault="00353F60" w:rsidP="00D8765A">
            <w:pPr>
              <w:jc w:val="both"/>
            </w:pPr>
            <w:r w:rsidRPr="00213043">
              <w:t>10</w:t>
            </w:r>
          </w:p>
        </w:tc>
        <w:tc>
          <w:tcPr>
            <w:tcW w:w="1199" w:type="dxa"/>
          </w:tcPr>
          <w:p w:rsidR="00353F60" w:rsidRPr="00213043" w:rsidRDefault="00B10B4E" w:rsidP="00D8765A">
            <w:pPr>
              <w:jc w:val="both"/>
            </w:pPr>
            <w:r w:rsidRPr="00213043">
              <w:t>6602</w:t>
            </w:r>
          </w:p>
        </w:tc>
      </w:tr>
      <w:tr w:rsidR="00353F60" w:rsidRPr="00213043" w:rsidTr="00E8254B">
        <w:tc>
          <w:tcPr>
            <w:tcW w:w="993" w:type="dxa"/>
          </w:tcPr>
          <w:p w:rsidR="00353F60" w:rsidRPr="00213043" w:rsidRDefault="00353F60" w:rsidP="00D8765A">
            <w:pPr>
              <w:jc w:val="both"/>
            </w:pPr>
            <w:r w:rsidRPr="00213043">
              <w:t>10</w:t>
            </w:r>
          </w:p>
        </w:tc>
        <w:tc>
          <w:tcPr>
            <w:tcW w:w="1199" w:type="dxa"/>
          </w:tcPr>
          <w:p w:rsidR="00353F60" w:rsidRPr="00213043" w:rsidRDefault="00B10B4E" w:rsidP="00D8765A">
            <w:pPr>
              <w:jc w:val="both"/>
            </w:pPr>
            <w:r w:rsidRPr="00213043">
              <w:t>6584</w:t>
            </w:r>
          </w:p>
        </w:tc>
      </w:tr>
      <w:tr w:rsidR="00353F60" w:rsidRPr="00213043" w:rsidTr="00E8254B">
        <w:tc>
          <w:tcPr>
            <w:tcW w:w="993" w:type="dxa"/>
          </w:tcPr>
          <w:p w:rsidR="00353F60" w:rsidRPr="00213043" w:rsidRDefault="00353F60" w:rsidP="00D8765A">
            <w:pPr>
              <w:jc w:val="both"/>
            </w:pPr>
            <w:r w:rsidRPr="00213043">
              <w:t>10</w:t>
            </w:r>
          </w:p>
        </w:tc>
        <w:tc>
          <w:tcPr>
            <w:tcW w:w="1199" w:type="dxa"/>
          </w:tcPr>
          <w:p w:rsidR="00353F60" w:rsidRPr="00213043" w:rsidRDefault="00B10B4E" w:rsidP="00D8765A">
            <w:pPr>
              <w:jc w:val="both"/>
            </w:pPr>
            <w:r w:rsidRPr="00213043">
              <w:t>6633</w:t>
            </w:r>
          </w:p>
        </w:tc>
      </w:tr>
      <w:tr w:rsidR="00353F60" w:rsidRPr="00213043" w:rsidTr="00E8254B">
        <w:tc>
          <w:tcPr>
            <w:tcW w:w="993" w:type="dxa"/>
          </w:tcPr>
          <w:p w:rsidR="00353F60" w:rsidRPr="00213043" w:rsidRDefault="007F006C" w:rsidP="00D8765A">
            <w:pPr>
              <w:jc w:val="both"/>
            </w:pPr>
            <w:r w:rsidRPr="00213043">
              <w:t>1</w:t>
            </w:r>
            <w:r w:rsidR="00353F60" w:rsidRPr="00213043">
              <w:t>0</w:t>
            </w:r>
          </w:p>
        </w:tc>
        <w:tc>
          <w:tcPr>
            <w:tcW w:w="1199" w:type="dxa"/>
          </w:tcPr>
          <w:p w:rsidR="00353F60" w:rsidRPr="00213043" w:rsidRDefault="007F006C" w:rsidP="00D8765A">
            <w:pPr>
              <w:jc w:val="both"/>
            </w:pPr>
            <w:r w:rsidRPr="00213043">
              <w:t>6592</w:t>
            </w:r>
          </w:p>
        </w:tc>
      </w:tr>
      <w:tr w:rsidR="00353F60" w:rsidRPr="00213043" w:rsidTr="00E8254B">
        <w:tc>
          <w:tcPr>
            <w:tcW w:w="993" w:type="dxa"/>
          </w:tcPr>
          <w:p w:rsidR="00353F60" w:rsidRPr="00213043" w:rsidRDefault="00353F60" w:rsidP="00D8765A">
            <w:pPr>
              <w:jc w:val="both"/>
            </w:pPr>
            <w:r w:rsidRPr="00213043">
              <w:t>20</w:t>
            </w:r>
          </w:p>
        </w:tc>
        <w:tc>
          <w:tcPr>
            <w:tcW w:w="1199" w:type="dxa"/>
          </w:tcPr>
          <w:p w:rsidR="00353F60" w:rsidRPr="00213043" w:rsidRDefault="00B10B4E" w:rsidP="00D8765A">
            <w:pPr>
              <w:jc w:val="both"/>
            </w:pPr>
            <w:r w:rsidRPr="00213043">
              <w:t>10538</w:t>
            </w:r>
          </w:p>
        </w:tc>
      </w:tr>
      <w:tr w:rsidR="00353F60" w:rsidRPr="00213043" w:rsidTr="00E8254B">
        <w:tc>
          <w:tcPr>
            <w:tcW w:w="993" w:type="dxa"/>
          </w:tcPr>
          <w:p w:rsidR="00353F60" w:rsidRPr="00213043" w:rsidRDefault="00353F60" w:rsidP="00D8765A">
            <w:pPr>
              <w:jc w:val="both"/>
            </w:pPr>
            <w:r w:rsidRPr="00213043">
              <w:t>20</w:t>
            </w:r>
          </w:p>
        </w:tc>
        <w:tc>
          <w:tcPr>
            <w:tcW w:w="1199" w:type="dxa"/>
          </w:tcPr>
          <w:p w:rsidR="00353F60" w:rsidRPr="00213043" w:rsidRDefault="00B10B4E" w:rsidP="00D8765A">
            <w:pPr>
              <w:jc w:val="both"/>
            </w:pPr>
            <w:r w:rsidRPr="00213043">
              <w:t>10499</w:t>
            </w:r>
          </w:p>
        </w:tc>
      </w:tr>
      <w:tr w:rsidR="00353F60" w:rsidRPr="00213043" w:rsidTr="00E8254B">
        <w:tc>
          <w:tcPr>
            <w:tcW w:w="993" w:type="dxa"/>
          </w:tcPr>
          <w:p w:rsidR="00353F60" w:rsidRPr="00213043" w:rsidRDefault="00353F60" w:rsidP="00D8765A">
            <w:pPr>
              <w:jc w:val="both"/>
            </w:pPr>
            <w:r w:rsidRPr="00213043">
              <w:t>30</w:t>
            </w:r>
          </w:p>
        </w:tc>
        <w:tc>
          <w:tcPr>
            <w:tcW w:w="1199" w:type="dxa"/>
          </w:tcPr>
          <w:p w:rsidR="00353F60" w:rsidRPr="00213043" w:rsidRDefault="00B10B4E" w:rsidP="00D8765A">
            <w:pPr>
              <w:jc w:val="both"/>
            </w:pPr>
            <w:r w:rsidRPr="00213043">
              <w:t>14685</w:t>
            </w:r>
          </w:p>
        </w:tc>
      </w:tr>
      <w:tr w:rsidR="00353F60" w:rsidRPr="00213043" w:rsidTr="00E8254B">
        <w:tc>
          <w:tcPr>
            <w:tcW w:w="993" w:type="dxa"/>
          </w:tcPr>
          <w:p w:rsidR="00353F60" w:rsidRPr="00213043" w:rsidRDefault="00353F60" w:rsidP="00D8765A">
            <w:pPr>
              <w:jc w:val="both"/>
            </w:pPr>
            <w:r w:rsidRPr="00213043">
              <w:t>30</w:t>
            </w:r>
          </w:p>
        </w:tc>
        <w:tc>
          <w:tcPr>
            <w:tcW w:w="1199" w:type="dxa"/>
          </w:tcPr>
          <w:p w:rsidR="00353F60" w:rsidRPr="00213043" w:rsidRDefault="00B10B4E" w:rsidP="00D8765A">
            <w:pPr>
              <w:jc w:val="both"/>
            </w:pPr>
            <w:r w:rsidRPr="00213043">
              <w:t>14546</w:t>
            </w:r>
          </w:p>
        </w:tc>
      </w:tr>
      <w:tr w:rsidR="00353F60" w:rsidRPr="00213043" w:rsidTr="00E8254B">
        <w:tc>
          <w:tcPr>
            <w:tcW w:w="993" w:type="dxa"/>
          </w:tcPr>
          <w:p w:rsidR="00353F60" w:rsidRPr="00213043" w:rsidRDefault="00353F60" w:rsidP="00D8765A">
            <w:pPr>
              <w:jc w:val="both"/>
            </w:pPr>
            <w:r w:rsidRPr="00213043">
              <w:t>30</w:t>
            </w:r>
          </w:p>
        </w:tc>
        <w:tc>
          <w:tcPr>
            <w:tcW w:w="1199" w:type="dxa"/>
          </w:tcPr>
          <w:p w:rsidR="00353F60" w:rsidRPr="00213043" w:rsidRDefault="00B10B4E" w:rsidP="00D8765A">
            <w:pPr>
              <w:jc w:val="both"/>
            </w:pPr>
            <w:r w:rsidRPr="00213043">
              <w:t>14472</w:t>
            </w:r>
          </w:p>
        </w:tc>
      </w:tr>
      <w:tr w:rsidR="00353F60" w:rsidRPr="00213043" w:rsidTr="00E8254B">
        <w:tc>
          <w:tcPr>
            <w:tcW w:w="993" w:type="dxa"/>
          </w:tcPr>
          <w:p w:rsidR="00353F60" w:rsidRPr="00213043" w:rsidRDefault="007F006C" w:rsidP="00D8765A">
            <w:pPr>
              <w:jc w:val="both"/>
            </w:pPr>
            <w:r w:rsidRPr="00213043">
              <w:t>3</w:t>
            </w:r>
            <w:r w:rsidR="00353F60" w:rsidRPr="00213043">
              <w:t>0</w:t>
            </w:r>
          </w:p>
        </w:tc>
        <w:tc>
          <w:tcPr>
            <w:tcW w:w="1199" w:type="dxa"/>
          </w:tcPr>
          <w:p w:rsidR="00353F60" w:rsidRPr="00213043" w:rsidRDefault="007F006C" w:rsidP="00D8765A">
            <w:pPr>
              <w:jc w:val="both"/>
            </w:pPr>
            <w:r w:rsidRPr="00213043">
              <w:t>14710</w:t>
            </w:r>
          </w:p>
        </w:tc>
      </w:tr>
      <w:tr w:rsidR="00353F60" w:rsidRPr="00213043" w:rsidTr="00E8254B">
        <w:tc>
          <w:tcPr>
            <w:tcW w:w="993" w:type="dxa"/>
          </w:tcPr>
          <w:p w:rsidR="00353F60" w:rsidRPr="00213043" w:rsidRDefault="00353F60" w:rsidP="00D8765A">
            <w:pPr>
              <w:jc w:val="both"/>
            </w:pPr>
            <w:r w:rsidRPr="00213043">
              <w:t>40</w:t>
            </w:r>
          </w:p>
        </w:tc>
        <w:tc>
          <w:tcPr>
            <w:tcW w:w="1199" w:type="dxa"/>
          </w:tcPr>
          <w:p w:rsidR="00353F60" w:rsidRPr="00213043" w:rsidRDefault="00B10B4E" w:rsidP="00D8765A">
            <w:pPr>
              <w:jc w:val="both"/>
            </w:pPr>
            <w:r w:rsidRPr="00213043">
              <w:t>18544</w:t>
            </w:r>
          </w:p>
        </w:tc>
      </w:tr>
      <w:tr w:rsidR="00353F60" w:rsidRPr="00213043" w:rsidTr="00E8254B">
        <w:tc>
          <w:tcPr>
            <w:tcW w:w="993" w:type="dxa"/>
          </w:tcPr>
          <w:p w:rsidR="00353F60" w:rsidRPr="00213043" w:rsidRDefault="00353F60" w:rsidP="00D8765A">
            <w:pPr>
              <w:jc w:val="both"/>
            </w:pPr>
            <w:r w:rsidRPr="00213043">
              <w:t>40</w:t>
            </w:r>
          </w:p>
        </w:tc>
        <w:tc>
          <w:tcPr>
            <w:tcW w:w="1199" w:type="dxa"/>
          </w:tcPr>
          <w:p w:rsidR="00353F60" w:rsidRPr="00213043" w:rsidRDefault="00B10B4E" w:rsidP="00D8765A">
            <w:pPr>
              <w:jc w:val="both"/>
            </w:pPr>
            <w:r w:rsidRPr="00213043">
              <w:t>18613</w:t>
            </w:r>
          </w:p>
        </w:tc>
      </w:tr>
    </w:tbl>
    <w:p w:rsidR="00877F64" w:rsidRPr="00213043" w:rsidRDefault="00E74D2F" w:rsidP="00D8765A">
      <w:pPr>
        <w:jc w:val="both"/>
      </w:pPr>
      <w:r w:rsidRPr="00213043">
        <w:t>O</w:t>
      </w:r>
      <w:r w:rsidR="00FC795D" w:rsidRPr="00213043">
        <w:t>značíme data v obou sloupcích a proložíme je</w:t>
      </w:r>
      <w:r w:rsidRPr="00213043">
        <w:t xml:space="preserve"> (podle příslušného programu: přidat spojnici trendu v Excelu nebo lineární fit v </w:t>
      </w:r>
      <w:proofErr w:type="spellStart"/>
      <w:r w:rsidRPr="00213043">
        <w:t>Originu</w:t>
      </w:r>
      <w:proofErr w:type="spellEnd"/>
      <w:r w:rsidRPr="00213043">
        <w:t>) přímkou. Z </w:t>
      </w:r>
      <w:r w:rsidRPr="00213043">
        <w:rPr>
          <w:i/>
        </w:rPr>
        <w:t>m</w:t>
      </w:r>
      <w:r w:rsidRPr="00213043">
        <w:t xml:space="preserve"> opakovaných měření signálu vzorku vypočítáme</w:t>
      </w:r>
      <w:r w:rsidR="005765DC" w:rsidRPr="00213043">
        <w:t xml:space="preserve"> jeho</w:t>
      </w:r>
      <w:r w:rsidRPr="00213043">
        <w:t xml:space="preserve"> průměr</w:t>
      </w:r>
      <w:r w:rsidR="005765DC" w:rsidRPr="00213043">
        <w:t xml:space="preserve">, který dosadíme do rovnice kalibrační přímky, z níž vypočítáme příslušnou koncentraci. </w:t>
      </w:r>
      <w:r w:rsidR="00075164" w:rsidRPr="00213043">
        <w:t xml:space="preserve">Ze vztahů na str. 163 skript plyne, že převažujícím příspěvkem k nejistotě je rozptyl bodů kalibrační </w:t>
      </w:r>
      <w:r w:rsidR="00075164" w:rsidRPr="00213043">
        <w:lastRenderedPageBreak/>
        <w:t xml:space="preserve">přímky. Je možné využít i </w:t>
      </w:r>
      <w:r w:rsidR="00877F64" w:rsidRPr="00213043">
        <w:t xml:space="preserve">složitějších </w:t>
      </w:r>
      <w:r w:rsidR="00075164" w:rsidRPr="00213043">
        <w:t xml:space="preserve">vztahů, které </w:t>
      </w:r>
      <w:r w:rsidR="00877F64" w:rsidRPr="00213043">
        <w:t>zahrnují též rozptyl opakovaného měření signálu vzorku. Většinou však nebývá nárůst nejistoty oproti vztahům ve skriptech významný.</w:t>
      </w:r>
      <w:r w:rsidR="00075164" w:rsidRPr="00213043">
        <w:t xml:space="preserve"> </w:t>
      </w:r>
    </w:p>
    <w:p w:rsidR="0061228E" w:rsidRDefault="00877F64" w:rsidP="00D8765A">
      <w:pPr>
        <w:jc w:val="both"/>
      </w:pPr>
      <w:r w:rsidRPr="00213043">
        <w:t>Stejná pravidla platí i pro sestrojení a vyhodnocení grafu kalibrační závislosti z přídavků standardu. Nejistotu je však třeba vypočítat podle příslušného vztahu</w:t>
      </w:r>
      <w:r w:rsidR="002A28B0">
        <w:t>.</w:t>
      </w:r>
    </w:p>
    <w:p w:rsidR="0061228E" w:rsidRPr="002A28B0" w:rsidRDefault="0061228E" w:rsidP="002A28B0">
      <w:pPr>
        <w:widowControl w:val="0"/>
        <w:tabs>
          <w:tab w:val="left" w:pos="900"/>
        </w:tabs>
        <w:spacing w:after="0" w:line="240" w:lineRule="auto"/>
        <w:ind w:left="360"/>
        <w:jc w:val="both"/>
        <w:rPr>
          <w:b/>
        </w:rPr>
      </w:pPr>
      <w:r w:rsidRPr="002A28B0">
        <w:rPr>
          <w:b/>
        </w:rPr>
        <w:t>Přídavek více standardů ke vzorku – zpracovaní lineární regresí</w:t>
      </w:r>
    </w:p>
    <w:p w:rsidR="0061228E" w:rsidRPr="002A28B0" w:rsidRDefault="0061228E" w:rsidP="0061228E">
      <w:pPr>
        <w:tabs>
          <w:tab w:val="left" w:pos="900"/>
        </w:tabs>
        <w:spacing w:line="240" w:lineRule="auto"/>
        <w:ind w:left="360"/>
      </w:pPr>
    </w:p>
    <w:p w:rsidR="0061228E" w:rsidRPr="002A28B0" w:rsidRDefault="0061228E" w:rsidP="0061228E">
      <w:pPr>
        <w:tabs>
          <w:tab w:val="left" w:pos="900"/>
        </w:tabs>
        <w:spacing w:line="240" w:lineRule="auto"/>
        <w:ind w:left="360"/>
      </w:pPr>
      <w:r w:rsidRPr="002A28B0">
        <w:t>Algoritmus měření:</w:t>
      </w:r>
    </w:p>
    <w:p w:rsidR="0061228E" w:rsidRPr="002A28B0" w:rsidRDefault="0061228E" w:rsidP="0061228E">
      <w:pPr>
        <w:widowControl w:val="0"/>
        <w:numPr>
          <w:ilvl w:val="0"/>
          <w:numId w:val="2"/>
        </w:numPr>
        <w:tabs>
          <w:tab w:val="left" w:pos="900"/>
        </w:tabs>
        <w:spacing w:after="0" w:line="240" w:lineRule="auto"/>
        <w:jc w:val="both"/>
      </w:pPr>
      <w:r w:rsidRPr="002A28B0">
        <w:t xml:space="preserve">odměření objemu vzorku </w:t>
      </w:r>
      <w:r w:rsidRPr="002A28B0">
        <w:rPr>
          <w:i/>
        </w:rPr>
        <w:t>V</w:t>
      </w:r>
      <w:r w:rsidRPr="002A28B0">
        <w:rPr>
          <w:vertAlign w:val="subscript"/>
        </w:rPr>
        <w:t>(i)</w:t>
      </w:r>
      <w:r w:rsidRPr="002A28B0">
        <w:t xml:space="preserve"> do (i) odměrných baněk</w:t>
      </w:r>
    </w:p>
    <w:p w:rsidR="0061228E" w:rsidRPr="002A28B0" w:rsidRDefault="0061228E" w:rsidP="0061228E">
      <w:pPr>
        <w:widowControl w:val="0"/>
        <w:numPr>
          <w:ilvl w:val="0"/>
          <w:numId w:val="2"/>
        </w:numPr>
        <w:spacing w:after="0" w:line="240" w:lineRule="auto"/>
        <w:jc w:val="both"/>
      </w:pPr>
      <w:r w:rsidRPr="002A28B0">
        <w:t xml:space="preserve">přídavek </w:t>
      </w:r>
      <w:r w:rsidRPr="002A28B0">
        <w:rPr>
          <w:i/>
        </w:rPr>
        <w:t>V</w:t>
      </w:r>
      <w:r w:rsidRPr="002A28B0">
        <w:rPr>
          <w:vertAlign w:val="subscript"/>
        </w:rPr>
        <w:t>S(i)</w:t>
      </w:r>
      <w:r w:rsidRPr="002A28B0">
        <w:t xml:space="preserve"> standardu o koncentraci </w:t>
      </w:r>
      <w:proofErr w:type="spellStart"/>
      <w:r w:rsidRPr="002A28B0">
        <w:rPr>
          <w:i/>
        </w:rPr>
        <w:t>c</w:t>
      </w:r>
      <w:r w:rsidRPr="002A28B0">
        <w:rPr>
          <w:vertAlign w:val="subscript"/>
        </w:rPr>
        <w:t>S</w:t>
      </w:r>
      <w:proofErr w:type="spellEnd"/>
      <w:r w:rsidRPr="002A28B0">
        <w:t xml:space="preserve"> do všech odměrných baněk (přídavek standardu do první baňky </w:t>
      </w:r>
      <w:r w:rsidRPr="002A28B0">
        <w:rPr>
          <w:i/>
        </w:rPr>
        <w:t>V</w:t>
      </w:r>
      <w:r w:rsidRPr="002A28B0">
        <w:rPr>
          <w:vertAlign w:val="subscript"/>
        </w:rPr>
        <w:t>S(1)</w:t>
      </w:r>
      <w:r w:rsidRPr="002A28B0">
        <w:t xml:space="preserve"> = 0) </w:t>
      </w:r>
    </w:p>
    <w:p w:rsidR="0061228E" w:rsidRPr="002A28B0" w:rsidRDefault="0061228E" w:rsidP="0061228E">
      <w:pPr>
        <w:widowControl w:val="0"/>
        <w:numPr>
          <w:ilvl w:val="0"/>
          <w:numId w:val="2"/>
        </w:numPr>
        <w:spacing w:after="0" w:line="240" w:lineRule="auto"/>
        <w:jc w:val="both"/>
      </w:pPr>
      <w:r w:rsidRPr="002A28B0">
        <w:t>doplnění všech baněk na stejný konečný objem!</w:t>
      </w:r>
    </w:p>
    <w:p w:rsidR="0061228E" w:rsidRPr="002A28B0" w:rsidRDefault="0061228E" w:rsidP="0061228E">
      <w:pPr>
        <w:widowControl w:val="0"/>
        <w:numPr>
          <w:ilvl w:val="0"/>
          <w:numId w:val="2"/>
        </w:numPr>
        <w:tabs>
          <w:tab w:val="left" w:pos="900"/>
        </w:tabs>
        <w:spacing w:after="0" w:line="240" w:lineRule="auto"/>
        <w:jc w:val="both"/>
      </w:pPr>
      <w:r w:rsidRPr="002A28B0">
        <w:t xml:space="preserve">měření signálu </w:t>
      </w:r>
      <w:r w:rsidRPr="002A28B0">
        <w:rPr>
          <w:i/>
        </w:rPr>
        <w:t>A</w:t>
      </w:r>
      <w:r w:rsidRPr="002A28B0">
        <w:rPr>
          <w:vertAlign w:val="subscript"/>
        </w:rPr>
        <w:t>(i)</w:t>
      </w:r>
      <w:r w:rsidRPr="002A28B0">
        <w:t xml:space="preserve"> </w:t>
      </w:r>
    </w:p>
    <w:p w:rsidR="0061228E" w:rsidRPr="002A28B0" w:rsidRDefault="0061228E" w:rsidP="0061228E">
      <w:pPr>
        <w:widowControl w:val="0"/>
        <w:numPr>
          <w:ilvl w:val="0"/>
          <w:numId w:val="2"/>
        </w:numPr>
        <w:tabs>
          <w:tab w:val="left" w:pos="900"/>
        </w:tabs>
        <w:spacing w:after="0" w:line="240" w:lineRule="auto"/>
        <w:jc w:val="both"/>
      </w:pPr>
      <w:r w:rsidRPr="002A28B0">
        <w:t>lineární regrese (obrázek 1)</w:t>
      </w:r>
    </w:p>
    <w:p w:rsidR="0061228E" w:rsidRPr="00B81965" w:rsidRDefault="0061228E" w:rsidP="0061228E">
      <w:pPr>
        <w:tabs>
          <w:tab w:val="left" w:pos="900"/>
        </w:tabs>
        <w:spacing w:line="240" w:lineRule="auto"/>
        <w:ind w:left="360"/>
        <w:rPr>
          <w:sz w:val="20"/>
        </w:rPr>
      </w:pPr>
    </w:p>
    <w:p w:rsidR="0061228E" w:rsidRPr="002A28B0" w:rsidRDefault="0061228E" w:rsidP="0061228E">
      <w:pPr>
        <w:tabs>
          <w:tab w:val="left" w:pos="900"/>
        </w:tabs>
        <w:spacing w:line="240" w:lineRule="auto"/>
        <w:ind w:left="360"/>
        <w:jc w:val="center"/>
      </w:pPr>
      <w:r w:rsidRPr="002A28B0">
        <w:rPr>
          <w:noProof/>
          <w:lang w:eastAsia="cs-CZ"/>
        </w:rPr>
        <w:drawing>
          <wp:inline distT="0" distB="0" distL="0" distR="0">
            <wp:extent cx="3771900" cy="20002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3771900" cy="2000250"/>
                    </a:xfrm>
                    <a:prstGeom prst="rect">
                      <a:avLst/>
                    </a:prstGeom>
                    <a:noFill/>
                    <a:ln w="9525">
                      <a:noFill/>
                      <a:miter lim="800000"/>
                      <a:headEnd/>
                      <a:tailEnd/>
                    </a:ln>
                  </pic:spPr>
                </pic:pic>
              </a:graphicData>
            </a:graphic>
          </wp:inline>
        </w:drawing>
      </w:r>
    </w:p>
    <w:p w:rsidR="0061228E" w:rsidRPr="002A28B0" w:rsidRDefault="0061228E" w:rsidP="0061228E">
      <w:pPr>
        <w:tabs>
          <w:tab w:val="left" w:pos="900"/>
        </w:tabs>
        <w:spacing w:line="240" w:lineRule="auto"/>
        <w:ind w:left="360"/>
        <w:jc w:val="center"/>
      </w:pPr>
      <w:r w:rsidRPr="002A28B0">
        <w:t>Obr.1.  Zobrazení metody přídavku standardu do vzorku</w:t>
      </w:r>
    </w:p>
    <w:p w:rsidR="0061228E" w:rsidRDefault="0061228E" w:rsidP="0061228E">
      <w:pPr>
        <w:tabs>
          <w:tab w:val="left" w:pos="900"/>
        </w:tabs>
        <w:spacing w:line="240" w:lineRule="auto"/>
        <w:ind w:left="360"/>
        <w:rPr>
          <w:sz w:val="20"/>
        </w:rPr>
      </w:pPr>
    </w:p>
    <w:p w:rsidR="0061228E" w:rsidRPr="002A28B0" w:rsidRDefault="0061228E" w:rsidP="0061228E">
      <w:pPr>
        <w:tabs>
          <w:tab w:val="left" w:pos="900"/>
          <w:tab w:val="center" w:pos="4500"/>
        </w:tabs>
        <w:spacing w:line="240" w:lineRule="auto"/>
        <w:ind w:left="360"/>
        <w:rPr>
          <w:rFonts w:cstheme="minorHAnsi"/>
        </w:rPr>
      </w:pPr>
      <w:r w:rsidRPr="002A28B0">
        <w:rPr>
          <w:rFonts w:cstheme="minorHAnsi"/>
        </w:rPr>
        <w:t>Rovnice měření:</w:t>
      </w:r>
      <w:r w:rsidRPr="002A28B0">
        <w:rPr>
          <w:rFonts w:cstheme="minorHAnsi"/>
        </w:rPr>
        <w:tab/>
        <w:t xml:space="preserve"> </w:t>
      </w:r>
      <w:r w:rsidRPr="002A28B0">
        <w:rPr>
          <w:rFonts w:cstheme="minorHAnsi"/>
          <w:position w:val="-26"/>
        </w:rPr>
        <w:object w:dxaOrig="11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pt" o:ole="">
            <v:imagedata r:id="rId6" o:title=""/>
          </v:shape>
          <o:OLEObject Type="Embed" ProgID="Equation.3" ShapeID="_x0000_i1025" DrawAspect="Content" ObjectID="_1770524770" r:id="rId7"/>
        </w:object>
      </w:r>
    </w:p>
    <w:p w:rsidR="0061228E" w:rsidRPr="002A28B0" w:rsidRDefault="0061228E" w:rsidP="0061228E">
      <w:pPr>
        <w:tabs>
          <w:tab w:val="left" w:pos="900"/>
        </w:tabs>
        <w:spacing w:line="240" w:lineRule="auto"/>
        <w:ind w:left="360"/>
        <w:rPr>
          <w:rFonts w:cstheme="minorHAnsi"/>
        </w:rPr>
      </w:pPr>
    </w:p>
    <w:p w:rsidR="0061228E" w:rsidRPr="002A28B0" w:rsidRDefault="0061228E" w:rsidP="0061228E">
      <w:pPr>
        <w:tabs>
          <w:tab w:val="left" w:pos="900"/>
        </w:tabs>
        <w:spacing w:line="240" w:lineRule="auto"/>
        <w:ind w:left="360"/>
        <w:rPr>
          <w:rFonts w:cstheme="minorHAnsi"/>
          <w:color w:val="000000"/>
        </w:rPr>
      </w:pPr>
      <w:r w:rsidRPr="002A28B0">
        <w:rPr>
          <w:rFonts w:cstheme="minorHAnsi"/>
          <w:i/>
          <w:iCs/>
          <w:lang w:val="fr-FR"/>
        </w:rPr>
        <w:t>kde</w:t>
      </w:r>
      <w:r w:rsidRPr="002A28B0">
        <w:rPr>
          <w:rFonts w:cstheme="minorHAnsi"/>
          <w:lang w:val="fr-FR"/>
        </w:rPr>
        <w:t xml:space="preserve">: </w:t>
      </w:r>
      <w:r w:rsidRPr="002A28B0">
        <w:rPr>
          <w:rFonts w:cstheme="minorHAnsi"/>
          <w:i/>
          <w:lang w:val="fr-FR"/>
        </w:rPr>
        <w:t>c</w:t>
      </w:r>
      <w:r w:rsidRPr="002A28B0">
        <w:rPr>
          <w:rFonts w:cstheme="minorHAnsi"/>
          <w:vertAlign w:val="subscript"/>
          <w:lang w:val="fr-FR"/>
        </w:rPr>
        <w:t>vz</w:t>
      </w:r>
      <w:r w:rsidRPr="002A28B0">
        <w:rPr>
          <w:rFonts w:cstheme="minorHAnsi"/>
          <w:lang w:val="fr-FR"/>
        </w:rPr>
        <w:t xml:space="preserve"> je </w:t>
      </w:r>
      <w:r w:rsidRPr="002A28B0">
        <w:rPr>
          <w:rFonts w:cstheme="minorHAnsi"/>
          <w:color w:val="000000"/>
          <w:lang w:val="fr-FR"/>
        </w:rPr>
        <w:t>koncentrace analytu ve stanovovaném vzorku,</w:t>
      </w:r>
      <w:r w:rsidRPr="002A28B0">
        <w:rPr>
          <w:rFonts w:cstheme="minorHAnsi"/>
          <w:color w:val="FF0000"/>
          <w:lang w:val="fr-FR"/>
        </w:rPr>
        <w:t xml:space="preserve"> </w:t>
      </w:r>
      <w:r w:rsidRPr="002A28B0">
        <w:rPr>
          <w:rFonts w:cstheme="minorHAnsi"/>
          <w:i/>
          <w:lang w:val="fr-FR"/>
        </w:rPr>
        <w:t>c</w:t>
      </w:r>
      <w:r w:rsidRPr="002A28B0">
        <w:rPr>
          <w:rFonts w:cstheme="minorHAnsi"/>
          <w:vertAlign w:val="subscript"/>
          <w:lang w:val="fr-FR"/>
        </w:rPr>
        <w:t>S</w:t>
      </w:r>
      <w:r w:rsidRPr="002A28B0">
        <w:rPr>
          <w:rFonts w:cstheme="minorHAnsi"/>
          <w:lang w:val="fr-FR"/>
        </w:rPr>
        <w:t xml:space="preserve"> je koncentrace standardu, </w:t>
      </w:r>
      <w:r w:rsidRPr="002A28B0">
        <w:rPr>
          <w:rFonts w:cstheme="minorHAnsi"/>
          <w:i/>
          <w:lang w:val="fr-FR"/>
        </w:rPr>
        <w:t>V</w:t>
      </w:r>
      <w:r w:rsidRPr="002A28B0">
        <w:rPr>
          <w:rFonts w:cstheme="minorHAnsi"/>
          <w:vertAlign w:val="subscript"/>
          <w:lang w:val="fr-FR"/>
        </w:rPr>
        <w:t>vz</w:t>
      </w:r>
      <w:r w:rsidRPr="002A28B0">
        <w:rPr>
          <w:rFonts w:cstheme="minorHAnsi"/>
          <w:lang w:val="fr-FR"/>
        </w:rPr>
        <w:t xml:space="preserve"> je objem </w:t>
      </w:r>
      <w:r w:rsidRPr="002A28B0">
        <w:rPr>
          <w:rFonts w:cstheme="minorHAnsi"/>
          <w:color w:val="000000"/>
          <w:lang w:val="fr-FR"/>
        </w:rPr>
        <w:t xml:space="preserve">stanovovaného vzorku, </w:t>
      </w:r>
      <w:r w:rsidRPr="002A28B0">
        <w:rPr>
          <w:rFonts w:cstheme="minorHAnsi"/>
          <w:i/>
          <w:color w:val="000000"/>
          <w:lang w:val="fr-FR"/>
        </w:rPr>
        <w:t>a</w:t>
      </w:r>
      <w:r w:rsidRPr="002A28B0">
        <w:rPr>
          <w:rFonts w:cstheme="minorHAnsi"/>
          <w:color w:val="000000"/>
          <w:lang w:val="fr-FR"/>
        </w:rPr>
        <w:t xml:space="preserve"> je úsek a </w:t>
      </w:r>
      <w:r w:rsidRPr="002A28B0">
        <w:rPr>
          <w:rFonts w:cstheme="minorHAnsi"/>
          <w:i/>
          <w:color w:val="000000"/>
          <w:lang w:val="fr-FR"/>
        </w:rPr>
        <w:t>b</w:t>
      </w:r>
      <w:r w:rsidRPr="002A28B0">
        <w:rPr>
          <w:rFonts w:cstheme="minorHAnsi"/>
          <w:color w:val="000000"/>
          <w:lang w:val="fr-FR"/>
        </w:rPr>
        <w:t xml:space="preserve"> směrnice kalibrační rovnice.</w:t>
      </w:r>
    </w:p>
    <w:p w:rsidR="0061228E" w:rsidRPr="002A28B0" w:rsidRDefault="0061228E" w:rsidP="0061228E">
      <w:pPr>
        <w:tabs>
          <w:tab w:val="left" w:pos="900"/>
        </w:tabs>
        <w:spacing w:line="240" w:lineRule="auto"/>
        <w:ind w:left="360"/>
        <w:rPr>
          <w:rFonts w:cstheme="minorHAnsi"/>
        </w:rPr>
      </w:pPr>
    </w:p>
    <w:p w:rsidR="0061228E" w:rsidRPr="002A28B0" w:rsidRDefault="0061228E" w:rsidP="0061228E">
      <w:pPr>
        <w:pStyle w:val="Bezmezer"/>
        <w:tabs>
          <w:tab w:val="left" w:pos="900"/>
        </w:tabs>
        <w:spacing w:after="200"/>
        <w:ind w:left="360"/>
        <w:rPr>
          <w:rFonts w:asciiTheme="minorHAnsi" w:hAnsiTheme="minorHAnsi" w:cstheme="minorHAnsi"/>
        </w:rPr>
      </w:pPr>
    </w:p>
    <w:p w:rsidR="0061228E" w:rsidRPr="002A28B0" w:rsidRDefault="0061228E" w:rsidP="0061228E">
      <w:pPr>
        <w:pStyle w:val="Bezmezer"/>
        <w:tabs>
          <w:tab w:val="left" w:pos="900"/>
        </w:tabs>
        <w:spacing w:after="200"/>
        <w:ind w:left="360"/>
        <w:rPr>
          <w:rFonts w:asciiTheme="minorHAnsi" w:hAnsiTheme="minorHAnsi" w:cstheme="minorHAnsi"/>
        </w:rPr>
      </w:pPr>
      <w:r w:rsidRPr="002A28B0">
        <w:rPr>
          <w:rFonts w:asciiTheme="minorHAnsi" w:hAnsiTheme="minorHAnsi" w:cstheme="minorHAnsi"/>
        </w:rPr>
        <w:t xml:space="preserve">Standardní nejistota objemu při </w:t>
      </w:r>
      <w:proofErr w:type="spellStart"/>
      <w:r w:rsidRPr="002A28B0">
        <w:rPr>
          <w:rFonts w:asciiTheme="minorHAnsi" w:hAnsiTheme="minorHAnsi" w:cstheme="minorHAnsi"/>
        </w:rPr>
        <w:t>y</w:t>
      </w:r>
      <w:r w:rsidRPr="002A28B0">
        <w:rPr>
          <w:rFonts w:asciiTheme="minorHAnsi" w:hAnsiTheme="minorHAnsi" w:cstheme="minorHAnsi"/>
          <w:vertAlign w:val="subscript"/>
        </w:rPr>
        <w:t>c</w:t>
      </w:r>
      <w:proofErr w:type="spellEnd"/>
      <w:r w:rsidRPr="002A28B0">
        <w:rPr>
          <w:rFonts w:asciiTheme="minorHAnsi" w:hAnsiTheme="minorHAnsi" w:cstheme="minorHAnsi"/>
          <w:vertAlign w:val="subscript"/>
        </w:rPr>
        <w:t xml:space="preserve"> </w:t>
      </w:r>
      <w:r w:rsidRPr="002A28B0">
        <w:rPr>
          <w:rFonts w:asciiTheme="minorHAnsi" w:hAnsiTheme="minorHAnsi" w:cstheme="minorHAnsi"/>
        </w:rPr>
        <w:t>= 0:</w:t>
      </w:r>
    </w:p>
    <w:p w:rsidR="0061228E" w:rsidRPr="002A28B0" w:rsidRDefault="0061228E" w:rsidP="0061228E">
      <w:pPr>
        <w:pStyle w:val="Bezmezer"/>
        <w:tabs>
          <w:tab w:val="left" w:pos="900"/>
        </w:tabs>
        <w:spacing w:after="200"/>
        <w:ind w:left="360"/>
        <w:jc w:val="center"/>
        <w:rPr>
          <w:rFonts w:asciiTheme="minorHAnsi" w:hAnsiTheme="minorHAnsi" w:cstheme="minorHAnsi"/>
        </w:rPr>
      </w:pPr>
      <w:r w:rsidRPr="002A28B0">
        <w:rPr>
          <w:rFonts w:asciiTheme="minorHAnsi" w:hAnsiTheme="minorHAnsi" w:cstheme="minorHAnsi"/>
          <w:position w:val="-38"/>
        </w:rPr>
        <w:object w:dxaOrig="2520" w:dyaOrig="840">
          <v:shape id="_x0000_i1026" type="#_x0000_t75" style="width:126pt;height:42pt" o:ole="">
            <v:imagedata r:id="rId8" o:title=""/>
          </v:shape>
          <o:OLEObject Type="Embed" ProgID="Equation.3" ShapeID="_x0000_i1026" DrawAspect="Content" ObjectID="_1770524771" r:id="rId9"/>
        </w:object>
      </w:r>
    </w:p>
    <w:p w:rsidR="0061228E" w:rsidRPr="002A28B0" w:rsidRDefault="0061228E" w:rsidP="0061228E">
      <w:pPr>
        <w:pStyle w:val="Bezmezer"/>
        <w:tabs>
          <w:tab w:val="left" w:pos="900"/>
        </w:tabs>
        <w:spacing w:after="200"/>
        <w:ind w:left="360"/>
      </w:pPr>
      <w:r w:rsidRPr="002A28B0">
        <w:t xml:space="preserve">Kde </w:t>
      </w:r>
      <w:proofErr w:type="spellStart"/>
      <w:r w:rsidRPr="002A28B0">
        <w:t>y</w:t>
      </w:r>
      <w:r w:rsidRPr="002A28B0">
        <w:rPr>
          <w:vertAlign w:val="subscript"/>
        </w:rPr>
        <w:t>c</w:t>
      </w:r>
      <w:proofErr w:type="spellEnd"/>
      <w:r w:rsidRPr="002A28B0">
        <w:t xml:space="preserve"> = 0 a </w:t>
      </w:r>
      <w:r w:rsidRPr="002A28B0">
        <w:rPr>
          <w:position w:val="-10"/>
        </w:rPr>
        <w:object w:dxaOrig="1500" w:dyaOrig="340">
          <v:shape id="_x0000_i1027" type="#_x0000_t75" style="width:75pt;height:17.25pt" o:ole="">
            <v:imagedata r:id="rId10" o:title=""/>
          </v:shape>
          <o:OLEObject Type="Embed" ProgID="Equation.3" ShapeID="_x0000_i1027" DrawAspect="Content" ObjectID="_1770524772" r:id="rId11"/>
        </w:object>
      </w:r>
    </w:p>
    <w:p w:rsidR="0061228E" w:rsidRPr="002A28B0" w:rsidRDefault="0061228E" w:rsidP="0061228E">
      <w:pPr>
        <w:pStyle w:val="Bezmezer"/>
        <w:tabs>
          <w:tab w:val="left" w:pos="900"/>
        </w:tabs>
        <w:spacing w:after="200"/>
        <w:ind w:left="360"/>
      </w:pPr>
    </w:p>
    <w:p w:rsidR="0061228E" w:rsidRPr="002A28B0" w:rsidRDefault="0061228E" w:rsidP="0061228E">
      <w:pPr>
        <w:pStyle w:val="Bezmezer"/>
        <w:tabs>
          <w:tab w:val="left" w:pos="900"/>
        </w:tabs>
        <w:spacing w:after="200"/>
        <w:ind w:left="360"/>
      </w:pPr>
      <w:r w:rsidRPr="002A28B0">
        <w:t xml:space="preserve">Standardní nejistota vypočtené koncentrace </w:t>
      </w:r>
      <w:proofErr w:type="spellStart"/>
      <w:r w:rsidRPr="00A72698">
        <w:rPr>
          <w:i/>
        </w:rPr>
        <w:t>u</w:t>
      </w:r>
      <w:r w:rsidRPr="00A72698">
        <w:rPr>
          <w:i/>
          <w:vertAlign w:val="subscript"/>
        </w:rPr>
        <w:t>c</w:t>
      </w:r>
      <w:proofErr w:type="spellEnd"/>
      <w:r w:rsidRPr="002A28B0">
        <w:t>:</w:t>
      </w:r>
    </w:p>
    <w:p w:rsidR="00F61EE8" w:rsidRDefault="0061228E" w:rsidP="00A72698">
      <w:pPr>
        <w:jc w:val="center"/>
      </w:pPr>
      <w:r w:rsidRPr="002A28B0">
        <w:rPr>
          <w:position w:val="-66"/>
        </w:rPr>
        <w:object w:dxaOrig="1300" w:dyaOrig="1080">
          <v:shape id="_x0000_i1028" type="#_x0000_t75" style="width:64.5pt;height:54pt" o:ole="">
            <v:imagedata r:id="rId12" o:title=""/>
          </v:shape>
          <o:OLEObject Type="Embed" ProgID="Equation.3" ShapeID="_x0000_i1028" DrawAspect="Content" ObjectID="_1770524773" r:id="rId13"/>
        </w:object>
      </w:r>
    </w:p>
    <w:p w:rsidR="00F61EE8" w:rsidRDefault="00A72698" w:rsidP="00F61EE8">
      <w:pPr>
        <w:jc w:val="both"/>
      </w:pPr>
      <w:r>
        <w:t xml:space="preserve">Tu je třeba pro 95% interval spolehlivosti (hladina významnosti 0,05) upravit vynásobením příslušným koeficientem </w:t>
      </w:r>
      <w:r>
        <w:rPr>
          <w:i/>
        </w:rPr>
        <w:t>t</w:t>
      </w:r>
      <w:r>
        <w:t>.</w:t>
      </w:r>
      <w:r>
        <w:rPr>
          <w:i/>
        </w:rPr>
        <w:t xml:space="preserve"> </w:t>
      </w:r>
      <w:r w:rsidR="00F61EE8" w:rsidRPr="00213043">
        <w:t>Tento vztah je uveden pro přídavky standardu v jednotkách objemu. Jestliže máme kalibrační závislost přídavků standardu v jednotkách koncentrace, pak již nebudeme přepočítávat nejistotu z objemu na koncentraci.</w:t>
      </w:r>
    </w:p>
    <w:p w:rsidR="00F61EE8" w:rsidRDefault="00F61EE8" w:rsidP="00F61EE8">
      <w:pPr>
        <w:jc w:val="both"/>
      </w:pPr>
      <w:r>
        <w:t>Pokud provádíme jen jeden přídavek standardu, užijeme následující vztahy, které se týkají např.</w:t>
      </w:r>
    </w:p>
    <w:p w:rsidR="002A28B0" w:rsidRPr="00F61EE8" w:rsidRDefault="002A28B0" w:rsidP="00BD0E3E">
      <w:pPr>
        <w:pStyle w:val="Bezmezer"/>
        <w:tabs>
          <w:tab w:val="left" w:pos="900"/>
        </w:tabs>
        <w:spacing w:after="200"/>
        <w:rPr>
          <w:rFonts w:asciiTheme="minorHAnsi" w:hAnsiTheme="minorHAnsi" w:cstheme="minorHAnsi"/>
          <w:b/>
          <w:bCs/>
          <w:iCs/>
        </w:rPr>
      </w:pPr>
      <w:r w:rsidRPr="00F61EE8">
        <w:rPr>
          <w:rFonts w:asciiTheme="minorHAnsi" w:hAnsiTheme="minorHAnsi" w:cstheme="minorHAnsi"/>
          <w:b/>
          <w:bCs/>
          <w:iCs/>
        </w:rPr>
        <w:t>Elektromigrační separační metod</w:t>
      </w:r>
      <w:r w:rsidR="00F61EE8">
        <w:rPr>
          <w:rFonts w:asciiTheme="minorHAnsi" w:hAnsiTheme="minorHAnsi" w:cstheme="minorHAnsi"/>
          <w:b/>
          <w:bCs/>
          <w:iCs/>
        </w:rPr>
        <w:t>y</w:t>
      </w:r>
      <w:r w:rsidRPr="00F61EE8">
        <w:rPr>
          <w:rFonts w:asciiTheme="minorHAnsi" w:hAnsiTheme="minorHAnsi" w:cstheme="minorHAnsi"/>
          <w:b/>
          <w:bCs/>
          <w:iCs/>
        </w:rPr>
        <w:t xml:space="preserve"> </w:t>
      </w:r>
      <w:r w:rsidR="004F018B">
        <w:rPr>
          <w:rFonts w:asciiTheme="minorHAnsi" w:hAnsiTheme="minorHAnsi" w:cstheme="minorHAnsi"/>
          <w:b/>
          <w:bCs/>
          <w:iCs/>
        </w:rPr>
        <w:t>–</w:t>
      </w:r>
      <w:r w:rsidRPr="00F61EE8">
        <w:rPr>
          <w:rFonts w:asciiTheme="minorHAnsi" w:hAnsiTheme="minorHAnsi" w:cstheme="minorHAnsi"/>
          <w:b/>
          <w:bCs/>
          <w:iCs/>
        </w:rPr>
        <w:t xml:space="preserve"> ITP</w:t>
      </w:r>
      <w:r w:rsidR="004F018B">
        <w:rPr>
          <w:rFonts w:asciiTheme="minorHAnsi" w:hAnsiTheme="minorHAnsi" w:cstheme="minorHAnsi"/>
          <w:b/>
          <w:bCs/>
          <w:iCs/>
        </w:rPr>
        <w:t xml:space="preserve">, </w:t>
      </w:r>
      <w:r w:rsidR="00FF6E90">
        <w:rPr>
          <w:rFonts w:asciiTheme="minorHAnsi" w:hAnsiTheme="minorHAnsi" w:cstheme="minorHAnsi"/>
          <w:b/>
          <w:bCs/>
          <w:iCs/>
        </w:rPr>
        <w:t>TLC,</w:t>
      </w:r>
      <w:r w:rsidR="004F018B">
        <w:rPr>
          <w:rFonts w:asciiTheme="minorHAnsi" w:hAnsiTheme="minorHAnsi" w:cstheme="minorHAnsi"/>
          <w:b/>
          <w:bCs/>
          <w:iCs/>
        </w:rPr>
        <w:t xml:space="preserve"> stanovení acetonu GC</w:t>
      </w:r>
    </w:p>
    <w:p w:rsidR="002A28B0" w:rsidRPr="00F61EE8" w:rsidRDefault="002A28B0" w:rsidP="002A28B0">
      <w:pPr>
        <w:tabs>
          <w:tab w:val="left" w:pos="900"/>
        </w:tabs>
        <w:spacing w:line="240" w:lineRule="auto"/>
        <w:ind w:left="360"/>
        <w:rPr>
          <w:rFonts w:cstheme="minorHAnsi"/>
        </w:rPr>
      </w:pPr>
      <w:r w:rsidRPr="00F61EE8">
        <w:rPr>
          <w:rFonts w:cstheme="minorHAnsi"/>
        </w:rPr>
        <w:t>Podle počtu přídavků standardu rozlišujeme:</w:t>
      </w:r>
    </w:p>
    <w:p w:rsidR="002A28B0" w:rsidRPr="00F61EE8" w:rsidRDefault="002A28B0" w:rsidP="00BD0E3E">
      <w:pPr>
        <w:widowControl w:val="0"/>
        <w:tabs>
          <w:tab w:val="left" w:pos="900"/>
        </w:tabs>
        <w:spacing w:after="0" w:line="240" w:lineRule="auto"/>
        <w:jc w:val="both"/>
        <w:rPr>
          <w:rFonts w:cstheme="minorHAnsi"/>
          <w:b/>
        </w:rPr>
      </w:pPr>
      <w:r w:rsidRPr="00F61EE8">
        <w:rPr>
          <w:rFonts w:cstheme="minorHAnsi"/>
          <w:b/>
        </w:rPr>
        <w:t>Přídavek jednoho standardu ke vzorku, kdy celkový objem je či není konstantní</w:t>
      </w:r>
    </w:p>
    <w:p w:rsidR="002A28B0" w:rsidRPr="00F61EE8" w:rsidRDefault="002A28B0" w:rsidP="002A28B0">
      <w:pPr>
        <w:tabs>
          <w:tab w:val="left" w:pos="900"/>
        </w:tabs>
        <w:spacing w:line="240" w:lineRule="auto"/>
        <w:ind w:left="360"/>
        <w:rPr>
          <w:rFonts w:cstheme="minorHAnsi"/>
        </w:rPr>
      </w:pPr>
      <w:r w:rsidRPr="00F61EE8">
        <w:rPr>
          <w:rFonts w:cstheme="minorHAnsi"/>
        </w:rPr>
        <w:t>Tyto metody se využívají pro početní výpočet koncentrace neznámého vzorku.</w:t>
      </w:r>
    </w:p>
    <w:p w:rsidR="002A28B0" w:rsidRPr="00F61EE8" w:rsidRDefault="002A28B0" w:rsidP="002A28B0">
      <w:pPr>
        <w:tabs>
          <w:tab w:val="left" w:pos="900"/>
        </w:tabs>
        <w:spacing w:line="240" w:lineRule="auto"/>
        <w:ind w:left="360"/>
        <w:rPr>
          <w:rFonts w:cstheme="minorHAnsi"/>
        </w:rPr>
      </w:pPr>
    </w:p>
    <w:p w:rsidR="002A28B0" w:rsidRPr="00F61EE8" w:rsidRDefault="002A28B0" w:rsidP="002A28B0">
      <w:pPr>
        <w:tabs>
          <w:tab w:val="left" w:pos="900"/>
        </w:tabs>
        <w:spacing w:line="240" w:lineRule="auto"/>
        <w:ind w:left="360"/>
        <w:rPr>
          <w:rFonts w:cstheme="minorHAnsi"/>
        </w:rPr>
      </w:pPr>
      <w:proofErr w:type="spellStart"/>
      <w:r w:rsidRPr="00F61EE8">
        <w:rPr>
          <w:rFonts w:cstheme="minorHAnsi"/>
        </w:rPr>
        <w:t>aa</w:t>
      </w:r>
      <w:proofErr w:type="spellEnd"/>
      <w:r w:rsidRPr="00F61EE8">
        <w:rPr>
          <w:rFonts w:cstheme="minorHAnsi"/>
        </w:rPr>
        <w:t>)</w:t>
      </w:r>
      <w:r w:rsidRPr="00F61EE8">
        <w:rPr>
          <w:rFonts w:cstheme="minorHAnsi"/>
        </w:rPr>
        <w:tab/>
        <w:t xml:space="preserve">V případě přídavku standardu ke vzorku, kdy celkový objem </w:t>
      </w:r>
      <w:r w:rsidRPr="00F61EE8">
        <w:rPr>
          <w:rFonts w:cstheme="minorHAnsi"/>
          <w:b/>
        </w:rPr>
        <w:t>není</w:t>
      </w:r>
      <w:r w:rsidRPr="00F61EE8">
        <w:rPr>
          <w:rFonts w:cstheme="minorHAnsi"/>
        </w:rPr>
        <w:t xml:space="preserve"> konstantní, počítáme koncentraci tohoto vzorku podle rovnice:</w:t>
      </w:r>
    </w:p>
    <w:p w:rsidR="002A28B0" w:rsidRPr="00F61EE8" w:rsidRDefault="002A28B0" w:rsidP="002A28B0">
      <w:pPr>
        <w:pStyle w:val="Bezmezer"/>
        <w:ind w:left="357"/>
        <w:jc w:val="center"/>
        <w:rPr>
          <w:rFonts w:asciiTheme="minorHAnsi" w:hAnsiTheme="minorHAnsi" w:cstheme="minorHAnsi"/>
        </w:rPr>
      </w:pPr>
      <w:r w:rsidRPr="00F61EE8">
        <w:rPr>
          <w:rFonts w:asciiTheme="minorHAnsi" w:hAnsiTheme="minorHAnsi" w:cstheme="minorHAnsi"/>
          <w:position w:val="-60"/>
        </w:rPr>
        <w:object w:dxaOrig="2600" w:dyaOrig="980">
          <v:shape id="_x0000_i1029" type="#_x0000_t75" style="width:129.75pt;height:48.75pt" o:ole="">
            <v:imagedata r:id="rId14" o:title=""/>
          </v:shape>
          <o:OLEObject Type="Embed" ProgID="Equation.3" ShapeID="_x0000_i1029" DrawAspect="Content" ObjectID="_1770524774" r:id="rId15"/>
        </w:object>
      </w:r>
    </w:p>
    <w:p w:rsidR="002A28B0" w:rsidRPr="00F61EE8" w:rsidRDefault="002A28B0" w:rsidP="002A28B0">
      <w:pPr>
        <w:pStyle w:val="Bezmezer"/>
        <w:ind w:left="357"/>
        <w:jc w:val="center"/>
        <w:rPr>
          <w:rFonts w:asciiTheme="minorHAnsi" w:hAnsiTheme="minorHAnsi" w:cstheme="minorHAnsi"/>
        </w:rPr>
      </w:pPr>
    </w:p>
    <w:p w:rsidR="002A28B0" w:rsidRPr="00F61EE8" w:rsidRDefault="002A28B0" w:rsidP="002A28B0">
      <w:pPr>
        <w:pStyle w:val="Bezmezer"/>
        <w:ind w:left="357"/>
        <w:jc w:val="center"/>
        <w:rPr>
          <w:rFonts w:asciiTheme="minorHAnsi" w:hAnsiTheme="minorHAnsi" w:cstheme="minorHAnsi"/>
        </w:rPr>
      </w:pPr>
      <w:r w:rsidRPr="00F61EE8">
        <w:rPr>
          <w:rFonts w:asciiTheme="minorHAnsi" w:hAnsiTheme="minorHAnsi" w:cstheme="minorHAnsi"/>
        </w:rPr>
        <w:t>neboli</w:t>
      </w:r>
    </w:p>
    <w:p w:rsidR="002A28B0" w:rsidRPr="00F61EE8" w:rsidRDefault="002A28B0" w:rsidP="002A28B0">
      <w:pPr>
        <w:pStyle w:val="Bezmezer"/>
        <w:ind w:left="357"/>
        <w:jc w:val="center"/>
        <w:rPr>
          <w:rFonts w:asciiTheme="minorHAnsi" w:hAnsiTheme="minorHAnsi" w:cstheme="minorHAnsi"/>
        </w:rPr>
      </w:pPr>
    </w:p>
    <w:p w:rsidR="002A28B0" w:rsidRPr="00F61EE8" w:rsidRDefault="002A28B0" w:rsidP="002A28B0">
      <w:pPr>
        <w:pStyle w:val="Bezmezer"/>
        <w:ind w:left="357"/>
        <w:jc w:val="center"/>
        <w:rPr>
          <w:rFonts w:asciiTheme="minorHAnsi" w:hAnsiTheme="minorHAnsi" w:cstheme="minorHAnsi"/>
        </w:rPr>
      </w:pPr>
      <w:r w:rsidRPr="00F61EE8">
        <w:rPr>
          <w:rFonts w:asciiTheme="minorHAnsi" w:hAnsiTheme="minorHAnsi" w:cstheme="minorHAnsi"/>
          <w:position w:val="-30"/>
        </w:rPr>
        <w:object w:dxaOrig="2640" w:dyaOrig="680">
          <v:shape id="_x0000_i1030" type="#_x0000_t75" style="width:132pt;height:33.75pt" o:ole="">
            <v:imagedata r:id="rId16" o:title=""/>
          </v:shape>
          <o:OLEObject Type="Embed" ProgID="Equation.3" ShapeID="_x0000_i1030" DrawAspect="Content" ObjectID="_1770524775" r:id="rId17"/>
        </w:object>
      </w:r>
    </w:p>
    <w:p w:rsidR="002A28B0" w:rsidRPr="00F61EE8" w:rsidRDefault="002A28B0" w:rsidP="002A28B0">
      <w:pPr>
        <w:spacing w:line="240" w:lineRule="auto"/>
        <w:ind w:left="357"/>
        <w:rPr>
          <w:rFonts w:cstheme="minorHAnsi"/>
          <w:lang w:val="fr-FR"/>
        </w:rPr>
      </w:pPr>
    </w:p>
    <w:p w:rsidR="002A28B0" w:rsidRPr="00F61EE8" w:rsidRDefault="002A28B0" w:rsidP="002A28B0">
      <w:pPr>
        <w:tabs>
          <w:tab w:val="left" w:pos="1200"/>
        </w:tabs>
        <w:spacing w:line="240" w:lineRule="auto"/>
        <w:ind w:left="357"/>
        <w:rPr>
          <w:rFonts w:cstheme="minorHAnsi"/>
          <w:color w:val="000000"/>
          <w:lang w:val="fr-FR"/>
        </w:rPr>
      </w:pPr>
      <w:r w:rsidRPr="00F61EE8">
        <w:rPr>
          <w:rFonts w:cstheme="minorHAnsi"/>
          <w:i/>
          <w:iCs/>
          <w:lang w:val="fr-FR"/>
        </w:rPr>
        <w:t>kde</w:t>
      </w:r>
      <w:r w:rsidRPr="00F61EE8">
        <w:rPr>
          <w:rFonts w:cstheme="minorHAnsi"/>
          <w:lang w:val="fr-FR"/>
        </w:rPr>
        <w:t xml:space="preserve">: </w:t>
      </w:r>
      <w:r w:rsidRPr="00F61EE8">
        <w:rPr>
          <w:rFonts w:cstheme="minorHAnsi"/>
          <w:i/>
          <w:lang w:val="fr-FR"/>
        </w:rPr>
        <w:t>c</w:t>
      </w:r>
      <w:r w:rsidRPr="00F61EE8">
        <w:rPr>
          <w:rFonts w:cstheme="minorHAnsi"/>
          <w:i/>
          <w:vertAlign w:val="subscript"/>
          <w:lang w:val="fr-FR"/>
        </w:rPr>
        <w:t>i</w:t>
      </w:r>
      <w:r w:rsidRPr="00F61EE8">
        <w:rPr>
          <w:rFonts w:cstheme="minorHAnsi"/>
          <w:lang w:val="fr-FR"/>
        </w:rPr>
        <w:t xml:space="preserve"> je </w:t>
      </w:r>
      <w:r w:rsidRPr="00F61EE8">
        <w:rPr>
          <w:rFonts w:cstheme="minorHAnsi"/>
          <w:color w:val="000000"/>
          <w:lang w:val="fr-FR"/>
        </w:rPr>
        <w:t>koncentrace analytu ve stanovovaném vzorku,</w:t>
      </w:r>
      <w:r w:rsidRPr="00F61EE8">
        <w:rPr>
          <w:rFonts w:cstheme="minorHAnsi"/>
          <w:color w:val="FF0000"/>
          <w:lang w:val="fr-FR"/>
        </w:rPr>
        <w:t xml:space="preserve"> </w:t>
      </w:r>
      <w:r w:rsidRPr="00F61EE8">
        <w:rPr>
          <w:rFonts w:cstheme="minorHAnsi"/>
          <w:i/>
          <w:lang w:val="fr-FR"/>
        </w:rPr>
        <w:t>c</w:t>
      </w:r>
      <w:r w:rsidRPr="00F61EE8">
        <w:rPr>
          <w:rFonts w:cstheme="minorHAnsi"/>
          <w:i/>
          <w:vertAlign w:val="subscript"/>
          <w:lang w:val="fr-FR"/>
        </w:rPr>
        <w:t>S</w:t>
      </w:r>
      <w:r w:rsidRPr="00F61EE8">
        <w:rPr>
          <w:rFonts w:cstheme="minorHAnsi"/>
          <w:lang w:val="fr-FR"/>
        </w:rPr>
        <w:t xml:space="preserve"> je koncentrace standardu, </w:t>
      </w:r>
      <w:r w:rsidRPr="00F61EE8">
        <w:rPr>
          <w:rFonts w:cstheme="minorHAnsi"/>
          <w:i/>
          <w:lang w:val="fr-FR"/>
        </w:rPr>
        <w:t>V</w:t>
      </w:r>
      <w:r w:rsidRPr="00F61EE8">
        <w:rPr>
          <w:rFonts w:cstheme="minorHAnsi"/>
          <w:i/>
          <w:vertAlign w:val="subscript"/>
          <w:lang w:val="fr-FR"/>
        </w:rPr>
        <w:t>i</w:t>
      </w:r>
      <w:r w:rsidRPr="00F61EE8">
        <w:rPr>
          <w:rFonts w:cstheme="minorHAnsi"/>
          <w:lang w:val="fr-FR"/>
        </w:rPr>
        <w:t xml:space="preserve"> je objem </w:t>
      </w:r>
      <w:r w:rsidRPr="00F61EE8">
        <w:rPr>
          <w:rFonts w:cstheme="minorHAnsi"/>
          <w:color w:val="000000"/>
          <w:lang w:val="fr-FR"/>
        </w:rPr>
        <w:t xml:space="preserve">stanovovaného vzorku, </w:t>
      </w:r>
      <w:r w:rsidRPr="00F61EE8">
        <w:rPr>
          <w:rFonts w:cstheme="minorHAnsi"/>
          <w:i/>
          <w:lang w:val="fr-FR"/>
        </w:rPr>
        <w:t>V</w:t>
      </w:r>
      <w:r w:rsidRPr="00F61EE8">
        <w:rPr>
          <w:rFonts w:cstheme="minorHAnsi"/>
          <w:i/>
          <w:vertAlign w:val="subscript"/>
          <w:lang w:val="fr-FR"/>
        </w:rPr>
        <w:t>S</w:t>
      </w:r>
      <w:r w:rsidRPr="00F61EE8">
        <w:rPr>
          <w:rFonts w:cstheme="minorHAnsi"/>
          <w:lang w:val="fr-FR"/>
        </w:rPr>
        <w:t xml:space="preserve"> je objem přidaného </w:t>
      </w:r>
      <w:r w:rsidRPr="00F61EE8">
        <w:rPr>
          <w:rFonts w:cstheme="minorHAnsi"/>
          <w:color w:val="000000"/>
          <w:lang w:val="fr-FR"/>
        </w:rPr>
        <w:t xml:space="preserve">standardu, </w:t>
      </w:r>
      <w:r w:rsidRPr="00F61EE8">
        <w:rPr>
          <w:rFonts w:cstheme="minorHAnsi"/>
          <w:i/>
          <w:color w:val="000000"/>
          <w:lang w:val="fr-FR"/>
        </w:rPr>
        <w:t>A</w:t>
      </w:r>
      <w:r w:rsidRPr="00F61EE8">
        <w:rPr>
          <w:rFonts w:cstheme="minorHAnsi"/>
          <w:i/>
          <w:vertAlign w:val="subscript"/>
          <w:lang w:val="fr-FR"/>
        </w:rPr>
        <w:t>i</w:t>
      </w:r>
      <w:r w:rsidRPr="00F61EE8">
        <w:rPr>
          <w:rFonts w:cstheme="minorHAnsi"/>
          <w:lang w:val="fr-FR"/>
        </w:rPr>
        <w:t xml:space="preserve"> je hodnota kvantitativního parametru </w:t>
      </w:r>
      <w:r w:rsidRPr="00F61EE8">
        <w:rPr>
          <w:rFonts w:cstheme="minorHAnsi"/>
          <w:color w:val="000000"/>
          <w:lang w:val="fr-FR"/>
        </w:rPr>
        <w:t xml:space="preserve">stanovovaného vzorku a </w:t>
      </w:r>
      <w:r w:rsidRPr="00F61EE8">
        <w:rPr>
          <w:rFonts w:cstheme="minorHAnsi"/>
          <w:i/>
          <w:lang w:val="fr-FR"/>
        </w:rPr>
        <w:t>A</w:t>
      </w:r>
      <w:r w:rsidRPr="00F61EE8">
        <w:rPr>
          <w:rFonts w:cstheme="minorHAnsi"/>
          <w:i/>
          <w:vertAlign w:val="subscript"/>
          <w:lang w:val="fr-FR"/>
        </w:rPr>
        <w:t>i+S</w:t>
      </w:r>
      <w:r w:rsidRPr="00F61EE8">
        <w:rPr>
          <w:rFonts w:cstheme="minorHAnsi"/>
          <w:lang w:val="fr-FR"/>
        </w:rPr>
        <w:t xml:space="preserve"> je hodnota kvantitativního parametru obohaceného vzorku (neznámý vzorek a přídavek standardu)</w:t>
      </w:r>
      <w:r w:rsidRPr="00F61EE8">
        <w:rPr>
          <w:rFonts w:cstheme="minorHAnsi"/>
          <w:color w:val="000000"/>
          <w:lang w:val="fr-FR"/>
        </w:rPr>
        <w:t>.</w:t>
      </w:r>
    </w:p>
    <w:p w:rsidR="002A28B0" w:rsidRPr="00F61EE8" w:rsidRDefault="002A28B0" w:rsidP="002A28B0">
      <w:pPr>
        <w:tabs>
          <w:tab w:val="left" w:pos="900"/>
        </w:tabs>
        <w:spacing w:line="240" w:lineRule="auto"/>
        <w:ind w:left="360"/>
        <w:rPr>
          <w:rFonts w:cstheme="minorHAnsi"/>
          <w:lang w:val="fr-FR"/>
        </w:rPr>
      </w:pPr>
    </w:p>
    <w:p w:rsidR="002A28B0" w:rsidRPr="00F61EE8" w:rsidRDefault="002A28B0" w:rsidP="002A28B0">
      <w:pPr>
        <w:tabs>
          <w:tab w:val="left" w:pos="900"/>
        </w:tabs>
        <w:spacing w:line="240" w:lineRule="auto"/>
        <w:ind w:left="360"/>
        <w:rPr>
          <w:rFonts w:cstheme="minorHAnsi"/>
        </w:rPr>
      </w:pPr>
      <w:r w:rsidRPr="00F61EE8">
        <w:rPr>
          <w:rFonts w:cstheme="minorHAnsi"/>
        </w:rPr>
        <w:t>Algoritmus měření:</w:t>
      </w:r>
    </w:p>
    <w:p w:rsidR="002A28B0" w:rsidRPr="00F61EE8" w:rsidRDefault="002A28B0" w:rsidP="002A28B0">
      <w:pPr>
        <w:widowControl w:val="0"/>
        <w:numPr>
          <w:ilvl w:val="0"/>
          <w:numId w:val="3"/>
        </w:numPr>
        <w:tabs>
          <w:tab w:val="left" w:pos="900"/>
        </w:tabs>
        <w:spacing w:after="0" w:line="240" w:lineRule="auto"/>
        <w:jc w:val="both"/>
        <w:rPr>
          <w:rFonts w:cstheme="minorHAnsi"/>
        </w:rPr>
      </w:pPr>
      <w:r w:rsidRPr="00F61EE8">
        <w:rPr>
          <w:rFonts w:cstheme="minorHAnsi"/>
        </w:rPr>
        <w:t xml:space="preserve">měření signálu </w:t>
      </w:r>
      <w:proofErr w:type="spellStart"/>
      <w:r w:rsidRPr="00F61EE8">
        <w:rPr>
          <w:rFonts w:cstheme="minorHAnsi"/>
          <w:i/>
        </w:rPr>
        <w:t>A</w:t>
      </w:r>
      <w:r w:rsidRPr="00F61EE8">
        <w:rPr>
          <w:rFonts w:cstheme="minorHAnsi"/>
          <w:vertAlign w:val="subscript"/>
        </w:rPr>
        <w:t>i</w:t>
      </w:r>
      <w:proofErr w:type="spellEnd"/>
      <w:r w:rsidRPr="00F61EE8">
        <w:rPr>
          <w:rFonts w:cstheme="minorHAnsi"/>
        </w:rPr>
        <w:t xml:space="preserve"> ve vzorku o objemu </w:t>
      </w:r>
      <w:proofErr w:type="spellStart"/>
      <w:r w:rsidRPr="00F61EE8">
        <w:rPr>
          <w:rFonts w:cstheme="minorHAnsi"/>
          <w:i/>
        </w:rPr>
        <w:t>V</w:t>
      </w:r>
      <w:r w:rsidRPr="00F61EE8">
        <w:rPr>
          <w:rFonts w:cstheme="minorHAnsi"/>
          <w:vertAlign w:val="subscript"/>
        </w:rPr>
        <w:t>i</w:t>
      </w:r>
      <w:proofErr w:type="spellEnd"/>
    </w:p>
    <w:p w:rsidR="002A28B0" w:rsidRPr="00F61EE8" w:rsidRDefault="002A28B0" w:rsidP="002A28B0">
      <w:pPr>
        <w:widowControl w:val="0"/>
        <w:numPr>
          <w:ilvl w:val="0"/>
          <w:numId w:val="3"/>
        </w:numPr>
        <w:spacing w:after="0" w:line="240" w:lineRule="auto"/>
        <w:jc w:val="both"/>
        <w:rPr>
          <w:rFonts w:cstheme="minorHAnsi"/>
        </w:rPr>
      </w:pPr>
      <w:r w:rsidRPr="00F61EE8">
        <w:rPr>
          <w:rFonts w:cstheme="minorHAnsi"/>
        </w:rPr>
        <w:t xml:space="preserve">přídavek </w:t>
      </w:r>
      <w:proofErr w:type="spellStart"/>
      <w:r w:rsidRPr="00F61EE8">
        <w:rPr>
          <w:rFonts w:cstheme="minorHAnsi"/>
          <w:i/>
        </w:rPr>
        <w:t>V</w:t>
      </w:r>
      <w:r w:rsidRPr="00F61EE8">
        <w:rPr>
          <w:rFonts w:cstheme="minorHAnsi"/>
          <w:vertAlign w:val="subscript"/>
        </w:rPr>
        <w:t>s</w:t>
      </w:r>
      <w:proofErr w:type="spellEnd"/>
      <w:r w:rsidRPr="00F61EE8">
        <w:rPr>
          <w:rFonts w:cstheme="minorHAnsi"/>
        </w:rPr>
        <w:t xml:space="preserve"> standardu o koncentraci </w:t>
      </w:r>
      <w:proofErr w:type="spellStart"/>
      <w:r w:rsidRPr="00F61EE8">
        <w:rPr>
          <w:rFonts w:cstheme="minorHAnsi"/>
          <w:i/>
        </w:rPr>
        <w:t>c</w:t>
      </w:r>
      <w:r w:rsidRPr="00F61EE8">
        <w:rPr>
          <w:rFonts w:cstheme="minorHAnsi"/>
          <w:vertAlign w:val="subscript"/>
        </w:rPr>
        <w:t>s</w:t>
      </w:r>
      <w:proofErr w:type="spellEnd"/>
      <w:r w:rsidRPr="00F61EE8">
        <w:rPr>
          <w:rFonts w:cstheme="minorHAnsi"/>
        </w:rPr>
        <w:t xml:space="preserve"> ke vzorku o objemu </w:t>
      </w:r>
      <w:proofErr w:type="spellStart"/>
      <w:r w:rsidRPr="00F61EE8">
        <w:rPr>
          <w:rFonts w:cstheme="minorHAnsi"/>
          <w:i/>
        </w:rPr>
        <w:t>V</w:t>
      </w:r>
      <w:r w:rsidRPr="00F61EE8">
        <w:rPr>
          <w:rFonts w:cstheme="minorHAnsi"/>
          <w:vertAlign w:val="subscript"/>
        </w:rPr>
        <w:t>i</w:t>
      </w:r>
      <w:proofErr w:type="spellEnd"/>
    </w:p>
    <w:p w:rsidR="002A28B0" w:rsidRPr="00F61EE8" w:rsidRDefault="002A28B0" w:rsidP="002A28B0">
      <w:pPr>
        <w:widowControl w:val="0"/>
        <w:numPr>
          <w:ilvl w:val="0"/>
          <w:numId w:val="3"/>
        </w:numPr>
        <w:tabs>
          <w:tab w:val="left" w:pos="900"/>
        </w:tabs>
        <w:spacing w:after="0" w:line="240" w:lineRule="auto"/>
        <w:jc w:val="both"/>
        <w:rPr>
          <w:rFonts w:cstheme="minorHAnsi"/>
        </w:rPr>
      </w:pPr>
      <w:r w:rsidRPr="00F61EE8">
        <w:rPr>
          <w:rFonts w:cstheme="minorHAnsi"/>
        </w:rPr>
        <w:t xml:space="preserve">měření signálu </w:t>
      </w:r>
      <w:proofErr w:type="spellStart"/>
      <w:r w:rsidRPr="00F61EE8">
        <w:rPr>
          <w:rFonts w:cstheme="minorHAnsi"/>
          <w:i/>
        </w:rPr>
        <w:t>A</w:t>
      </w:r>
      <w:r w:rsidRPr="00F61EE8">
        <w:rPr>
          <w:rFonts w:cstheme="minorHAnsi"/>
          <w:vertAlign w:val="subscript"/>
        </w:rPr>
        <w:t>i</w:t>
      </w:r>
      <w:proofErr w:type="spellEnd"/>
      <w:r w:rsidRPr="00F61EE8">
        <w:rPr>
          <w:rFonts w:cstheme="minorHAnsi"/>
          <w:vertAlign w:val="subscript"/>
        </w:rPr>
        <w:t>+s</w:t>
      </w:r>
    </w:p>
    <w:p w:rsidR="002A28B0" w:rsidRPr="00F61EE8" w:rsidRDefault="002A28B0" w:rsidP="002A28B0">
      <w:pPr>
        <w:tabs>
          <w:tab w:val="left" w:pos="900"/>
        </w:tabs>
        <w:spacing w:line="240" w:lineRule="auto"/>
        <w:ind w:left="360"/>
        <w:rPr>
          <w:rFonts w:cstheme="minorHAnsi"/>
        </w:rPr>
      </w:pPr>
    </w:p>
    <w:p w:rsidR="002A28B0" w:rsidRPr="00F61EE8" w:rsidRDefault="002A28B0" w:rsidP="002A28B0">
      <w:pPr>
        <w:tabs>
          <w:tab w:val="left" w:pos="900"/>
        </w:tabs>
        <w:spacing w:line="240" w:lineRule="auto"/>
        <w:ind w:left="360"/>
        <w:rPr>
          <w:rFonts w:cstheme="minorHAnsi"/>
        </w:rPr>
      </w:pPr>
      <w:r w:rsidRPr="00F61EE8">
        <w:rPr>
          <w:rFonts w:cstheme="minorHAnsi"/>
        </w:rPr>
        <w:lastRenderedPageBreak/>
        <w:t>ab)</w:t>
      </w:r>
      <w:r w:rsidRPr="00F61EE8">
        <w:rPr>
          <w:rFonts w:cstheme="minorHAnsi"/>
        </w:rPr>
        <w:tab/>
        <w:t xml:space="preserve">Je-li přídavek standardu ke vzorku a celkový objem </w:t>
      </w:r>
      <w:r w:rsidRPr="00F61EE8">
        <w:rPr>
          <w:rFonts w:cstheme="minorHAnsi"/>
          <w:b/>
        </w:rPr>
        <w:t>je</w:t>
      </w:r>
      <w:r w:rsidRPr="00F61EE8">
        <w:rPr>
          <w:rFonts w:cstheme="minorHAnsi"/>
        </w:rPr>
        <w:t xml:space="preserve"> konstantní (vzorku i vzorku s přídavkem), počítáme koncentraci vzorku podle rovnice:</w:t>
      </w:r>
    </w:p>
    <w:p w:rsidR="002A28B0" w:rsidRPr="00F61EE8" w:rsidRDefault="002A28B0" w:rsidP="002A28B0">
      <w:pPr>
        <w:tabs>
          <w:tab w:val="left" w:pos="900"/>
        </w:tabs>
        <w:spacing w:line="240" w:lineRule="auto"/>
        <w:ind w:left="360"/>
        <w:rPr>
          <w:rFonts w:cstheme="minorHAnsi"/>
        </w:rPr>
      </w:pPr>
    </w:p>
    <w:p w:rsidR="002A28B0" w:rsidRPr="00F61EE8" w:rsidRDefault="002A28B0" w:rsidP="002A28B0">
      <w:pPr>
        <w:tabs>
          <w:tab w:val="left" w:pos="900"/>
        </w:tabs>
        <w:spacing w:line="240" w:lineRule="auto"/>
        <w:ind w:left="360"/>
        <w:jc w:val="center"/>
        <w:rPr>
          <w:rFonts w:cstheme="minorHAnsi"/>
        </w:rPr>
      </w:pPr>
      <w:r w:rsidRPr="00F61EE8">
        <w:rPr>
          <w:rFonts w:cstheme="minorHAnsi"/>
          <w:position w:val="-30"/>
        </w:rPr>
        <w:object w:dxaOrig="1860" w:dyaOrig="680">
          <v:shape id="_x0000_i1031" type="#_x0000_t75" style="width:93pt;height:33.75pt" o:ole="">
            <v:imagedata r:id="rId18" o:title=""/>
          </v:shape>
          <o:OLEObject Type="Embed" ProgID="Equation.3" ShapeID="_x0000_i1031" DrawAspect="Content" ObjectID="_1770524776" r:id="rId19"/>
        </w:object>
      </w:r>
    </w:p>
    <w:p w:rsidR="002A28B0" w:rsidRPr="00F61EE8" w:rsidRDefault="002A28B0" w:rsidP="002A28B0">
      <w:pPr>
        <w:tabs>
          <w:tab w:val="left" w:pos="900"/>
        </w:tabs>
        <w:spacing w:line="240" w:lineRule="auto"/>
        <w:ind w:left="360"/>
        <w:jc w:val="center"/>
        <w:rPr>
          <w:rFonts w:cstheme="minorHAnsi"/>
        </w:rPr>
      </w:pPr>
    </w:p>
    <w:p w:rsidR="002A28B0" w:rsidRPr="00F61EE8" w:rsidRDefault="002A28B0" w:rsidP="002A28B0">
      <w:pPr>
        <w:tabs>
          <w:tab w:val="left" w:pos="900"/>
        </w:tabs>
        <w:spacing w:line="240" w:lineRule="auto"/>
        <w:ind w:left="360"/>
        <w:jc w:val="center"/>
        <w:rPr>
          <w:rFonts w:cstheme="minorHAnsi"/>
        </w:rPr>
      </w:pPr>
      <w:r w:rsidRPr="00F61EE8">
        <w:rPr>
          <w:rFonts w:cstheme="minorHAnsi"/>
          <w:position w:val="-32"/>
        </w:rPr>
        <w:object w:dxaOrig="3820" w:dyaOrig="760">
          <v:shape id="_x0000_i1032" type="#_x0000_t75" style="width:191.25pt;height:38.25pt" o:ole="">
            <v:imagedata r:id="rId20" o:title=""/>
          </v:shape>
          <o:OLEObject Type="Embed" ProgID="Equation.3" ShapeID="_x0000_i1032" DrawAspect="Content" ObjectID="_1770524777" r:id="rId21"/>
        </w:object>
      </w:r>
    </w:p>
    <w:p w:rsidR="002A28B0" w:rsidRPr="00F61EE8" w:rsidRDefault="002A28B0" w:rsidP="002A28B0">
      <w:pPr>
        <w:tabs>
          <w:tab w:val="left" w:pos="900"/>
        </w:tabs>
        <w:spacing w:line="240" w:lineRule="auto"/>
        <w:ind w:left="360"/>
        <w:jc w:val="center"/>
        <w:rPr>
          <w:rFonts w:cstheme="minorHAnsi"/>
        </w:rPr>
      </w:pPr>
    </w:p>
    <w:p w:rsidR="002A28B0" w:rsidRPr="00F61EE8" w:rsidRDefault="002A28B0" w:rsidP="002A28B0">
      <w:pPr>
        <w:tabs>
          <w:tab w:val="left" w:pos="1200"/>
        </w:tabs>
        <w:spacing w:line="240" w:lineRule="auto"/>
        <w:ind w:left="357"/>
        <w:rPr>
          <w:rFonts w:cstheme="minorHAnsi"/>
          <w:lang w:val="fr-FR"/>
        </w:rPr>
      </w:pPr>
      <w:r w:rsidRPr="00F61EE8">
        <w:rPr>
          <w:rFonts w:cstheme="minorHAnsi"/>
          <w:i/>
          <w:iCs/>
          <w:lang w:val="fr-FR"/>
        </w:rPr>
        <w:t>kde</w:t>
      </w:r>
      <w:r w:rsidRPr="00F61EE8">
        <w:rPr>
          <w:rFonts w:cstheme="minorHAnsi"/>
          <w:lang w:val="fr-FR"/>
        </w:rPr>
        <w:t xml:space="preserve">: </w:t>
      </w:r>
      <w:r w:rsidRPr="00F61EE8">
        <w:rPr>
          <w:rFonts w:cstheme="minorHAnsi"/>
          <w:i/>
          <w:lang w:val="fr-FR"/>
        </w:rPr>
        <w:t>c</w:t>
      </w:r>
      <w:r w:rsidRPr="00F61EE8">
        <w:rPr>
          <w:rFonts w:cstheme="minorHAnsi"/>
          <w:i/>
          <w:vertAlign w:val="subscript"/>
          <w:lang w:val="fr-FR"/>
        </w:rPr>
        <w:t>i</w:t>
      </w:r>
      <w:r w:rsidRPr="00F61EE8">
        <w:rPr>
          <w:rFonts w:cstheme="minorHAnsi"/>
          <w:lang w:val="fr-FR"/>
        </w:rPr>
        <w:t xml:space="preserve"> je </w:t>
      </w:r>
      <w:r w:rsidRPr="00F61EE8">
        <w:rPr>
          <w:rFonts w:cstheme="minorHAnsi"/>
          <w:color w:val="000000"/>
          <w:lang w:val="fr-FR"/>
        </w:rPr>
        <w:t>koncentrace analytu ve stanovovaném vzorku,</w:t>
      </w:r>
      <w:r w:rsidRPr="00F61EE8">
        <w:rPr>
          <w:rFonts w:cstheme="minorHAnsi"/>
          <w:color w:val="FF0000"/>
          <w:lang w:val="fr-FR"/>
        </w:rPr>
        <w:t xml:space="preserve"> </w:t>
      </w:r>
      <w:r w:rsidRPr="00F61EE8">
        <w:rPr>
          <w:rFonts w:cstheme="minorHAnsi"/>
          <w:i/>
          <w:lang w:val="fr-FR"/>
        </w:rPr>
        <w:t>c</w:t>
      </w:r>
      <w:r w:rsidRPr="00F61EE8">
        <w:rPr>
          <w:rFonts w:cstheme="minorHAnsi"/>
          <w:i/>
          <w:vertAlign w:val="subscript"/>
          <w:lang w:val="fr-FR"/>
        </w:rPr>
        <w:t>S</w:t>
      </w:r>
      <w:r w:rsidRPr="00F61EE8">
        <w:rPr>
          <w:rFonts w:cstheme="minorHAnsi"/>
          <w:lang w:val="fr-FR"/>
        </w:rPr>
        <w:t xml:space="preserve"> je koncentrace původního standardu (né po naředění do výsledného objemu), </w:t>
      </w:r>
      <w:r w:rsidRPr="00F61EE8">
        <w:rPr>
          <w:rFonts w:cstheme="minorHAnsi"/>
          <w:i/>
          <w:lang w:val="fr-FR"/>
        </w:rPr>
        <w:t>V</w:t>
      </w:r>
      <w:r w:rsidRPr="00F61EE8">
        <w:rPr>
          <w:rFonts w:cstheme="minorHAnsi"/>
          <w:i/>
          <w:vertAlign w:val="subscript"/>
          <w:lang w:val="fr-FR"/>
        </w:rPr>
        <w:t>i</w:t>
      </w:r>
      <w:r w:rsidRPr="00F61EE8">
        <w:rPr>
          <w:rFonts w:cstheme="minorHAnsi"/>
          <w:lang w:val="fr-FR"/>
        </w:rPr>
        <w:t xml:space="preserve"> je objem </w:t>
      </w:r>
      <w:r w:rsidRPr="00F61EE8">
        <w:rPr>
          <w:rFonts w:cstheme="minorHAnsi"/>
          <w:color w:val="000000"/>
          <w:lang w:val="fr-FR"/>
        </w:rPr>
        <w:t xml:space="preserve">stanovovaného vzorku, </w:t>
      </w:r>
      <w:r w:rsidRPr="00F61EE8">
        <w:rPr>
          <w:rFonts w:cstheme="minorHAnsi"/>
          <w:i/>
          <w:lang w:val="fr-FR"/>
        </w:rPr>
        <w:t>V</w:t>
      </w:r>
      <w:r w:rsidRPr="00F61EE8">
        <w:rPr>
          <w:rFonts w:cstheme="minorHAnsi"/>
          <w:i/>
          <w:vertAlign w:val="subscript"/>
          <w:lang w:val="fr-FR"/>
        </w:rPr>
        <w:t>S</w:t>
      </w:r>
      <w:r w:rsidRPr="00F61EE8">
        <w:rPr>
          <w:rFonts w:cstheme="minorHAnsi"/>
          <w:lang w:val="fr-FR"/>
        </w:rPr>
        <w:t xml:space="preserve"> je objem přidaného </w:t>
      </w:r>
      <w:r w:rsidRPr="00F61EE8">
        <w:rPr>
          <w:rFonts w:cstheme="minorHAnsi"/>
          <w:color w:val="000000"/>
          <w:lang w:val="fr-FR"/>
        </w:rPr>
        <w:t xml:space="preserve">standardu, </w:t>
      </w:r>
      <w:r w:rsidRPr="00F61EE8">
        <w:rPr>
          <w:rFonts w:cstheme="minorHAnsi"/>
          <w:i/>
          <w:lang w:val="fr-FR"/>
        </w:rPr>
        <w:t>V</w:t>
      </w:r>
      <w:r w:rsidRPr="00F61EE8">
        <w:rPr>
          <w:rFonts w:cstheme="minorHAnsi"/>
          <w:i/>
          <w:vertAlign w:val="subscript"/>
          <w:lang w:val="fr-FR"/>
        </w:rPr>
        <w:t>R</w:t>
      </w:r>
      <w:r w:rsidRPr="00F61EE8">
        <w:rPr>
          <w:rFonts w:cstheme="minorHAnsi"/>
          <w:lang w:val="fr-FR"/>
        </w:rPr>
        <w:t xml:space="preserve"> je objem celého připraveného roztoku (</w:t>
      </w:r>
      <w:r w:rsidRPr="00F61EE8">
        <w:rPr>
          <w:rFonts w:cstheme="minorHAnsi"/>
          <w:i/>
          <w:lang w:val="fr-FR"/>
        </w:rPr>
        <w:t>V</w:t>
      </w:r>
      <w:r w:rsidRPr="00F61EE8">
        <w:rPr>
          <w:rFonts w:cstheme="minorHAnsi"/>
          <w:i/>
          <w:vertAlign w:val="subscript"/>
          <w:lang w:val="fr-FR"/>
        </w:rPr>
        <w:t>i</w:t>
      </w:r>
      <w:r w:rsidRPr="00F61EE8">
        <w:rPr>
          <w:rFonts w:cstheme="minorHAnsi"/>
          <w:lang w:val="fr-FR"/>
        </w:rPr>
        <w:t xml:space="preserve"> + </w:t>
      </w:r>
      <w:r w:rsidRPr="00F61EE8">
        <w:rPr>
          <w:rFonts w:cstheme="minorHAnsi"/>
          <w:i/>
          <w:lang w:val="fr-FR"/>
        </w:rPr>
        <w:t>V</w:t>
      </w:r>
      <w:r w:rsidRPr="00F61EE8">
        <w:rPr>
          <w:rFonts w:cstheme="minorHAnsi"/>
          <w:i/>
          <w:vertAlign w:val="subscript"/>
          <w:lang w:val="fr-FR"/>
        </w:rPr>
        <w:t>S</w:t>
      </w:r>
      <w:r w:rsidRPr="00F61EE8">
        <w:rPr>
          <w:rFonts w:cstheme="minorHAnsi"/>
          <w:lang w:val="fr-FR"/>
        </w:rPr>
        <w:t xml:space="preserve"> + rozpouštědlo),</w:t>
      </w:r>
      <w:r w:rsidRPr="00F61EE8">
        <w:rPr>
          <w:rFonts w:cstheme="minorHAnsi"/>
          <w:color w:val="000000"/>
          <w:lang w:val="fr-FR"/>
        </w:rPr>
        <w:t xml:space="preserve"> </w:t>
      </w:r>
      <w:r w:rsidRPr="00F61EE8">
        <w:rPr>
          <w:rFonts w:cstheme="minorHAnsi"/>
          <w:i/>
          <w:color w:val="000000"/>
          <w:lang w:val="fr-FR"/>
        </w:rPr>
        <w:t>A</w:t>
      </w:r>
      <w:r w:rsidRPr="00F61EE8">
        <w:rPr>
          <w:rFonts w:cstheme="minorHAnsi"/>
          <w:i/>
          <w:vertAlign w:val="subscript"/>
          <w:lang w:val="fr-FR"/>
        </w:rPr>
        <w:t>i</w:t>
      </w:r>
      <w:r w:rsidRPr="00F61EE8">
        <w:rPr>
          <w:rFonts w:cstheme="minorHAnsi"/>
          <w:i/>
          <w:color w:val="000000"/>
          <w:lang w:val="fr-FR"/>
        </w:rPr>
        <w:t xml:space="preserve"> </w:t>
      </w:r>
      <w:r w:rsidRPr="00F61EE8">
        <w:rPr>
          <w:rFonts w:cstheme="minorHAnsi"/>
          <w:color w:val="000000"/>
          <w:lang w:val="fr-FR"/>
        </w:rPr>
        <w:t xml:space="preserve">a </w:t>
      </w:r>
      <w:r w:rsidRPr="00F61EE8">
        <w:rPr>
          <w:rFonts w:cstheme="minorHAnsi"/>
          <w:i/>
          <w:color w:val="000000"/>
          <w:lang w:val="fr-FR"/>
        </w:rPr>
        <w:t>A</w:t>
      </w:r>
      <w:r w:rsidRPr="00F61EE8">
        <w:rPr>
          <w:rFonts w:cstheme="minorHAnsi"/>
          <w:i/>
          <w:vertAlign w:val="subscript"/>
          <w:lang w:val="fr-FR"/>
        </w:rPr>
        <w:t>i</w:t>
      </w:r>
      <w:r w:rsidRPr="00F61EE8">
        <w:rPr>
          <w:rFonts w:cstheme="minorHAnsi"/>
          <w:i/>
          <w:vertAlign w:val="superscript"/>
          <w:lang w:val="fr-FR"/>
        </w:rPr>
        <w:t>´</w:t>
      </w:r>
      <w:r w:rsidRPr="00F61EE8">
        <w:rPr>
          <w:rFonts w:cstheme="minorHAnsi"/>
          <w:lang w:val="fr-FR"/>
        </w:rPr>
        <w:t xml:space="preserve"> je hodnota a korigovaná hodnota kvantitativního parametru </w:t>
      </w:r>
      <w:r w:rsidRPr="00F61EE8">
        <w:rPr>
          <w:rFonts w:cstheme="minorHAnsi"/>
          <w:color w:val="000000"/>
          <w:lang w:val="fr-FR"/>
        </w:rPr>
        <w:t xml:space="preserve">stanovovaného vzorku na objem, </w:t>
      </w:r>
      <w:r w:rsidRPr="00F61EE8">
        <w:rPr>
          <w:rFonts w:cstheme="minorHAnsi"/>
          <w:i/>
          <w:lang w:val="fr-FR"/>
        </w:rPr>
        <w:t>A</w:t>
      </w:r>
      <w:r w:rsidRPr="00F61EE8">
        <w:rPr>
          <w:rFonts w:cstheme="minorHAnsi"/>
          <w:i/>
          <w:vertAlign w:val="subscript"/>
          <w:lang w:val="fr-FR"/>
        </w:rPr>
        <w:t>i+S</w:t>
      </w:r>
      <w:r w:rsidRPr="00F61EE8">
        <w:rPr>
          <w:rFonts w:cstheme="minorHAnsi"/>
          <w:color w:val="000000"/>
          <w:lang w:val="fr-FR"/>
        </w:rPr>
        <w:t xml:space="preserve"> a </w:t>
      </w:r>
      <w:r w:rsidRPr="00F61EE8">
        <w:rPr>
          <w:rFonts w:cstheme="minorHAnsi"/>
          <w:i/>
          <w:lang w:val="fr-FR"/>
        </w:rPr>
        <w:t>A</w:t>
      </w:r>
      <w:r w:rsidRPr="00F61EE8">
        <w:rPr>
          <w:rFonts w:cstheme="minorHAnsi"/>
          <w:i/>
          <w:vertAlign w:val="subscript"/>
          <w:lang w:val="fr-FR"/>
        </w:rPr>
        <w:t>i+S</w:t>
      </w:r>
      <w:r w:rsidRPr="00F61EE8">
        <w:rPr>
          <w:rFonts w:cstheme="minorHAnsi"/>
          <w:i/>
          <w:vertAlign w:val="superscript"/>
          <w:lang w:val="fr-FR"/>
        </w:rPr>
        <w:t>´</w:t>
      </w:r>
      <w:r w:rsidRPr="00F61EE8">
        <w:rPr>
          <w:rFonts w:cstheme="minorHAnsi"/>
          <w:lang w:val="fr-FR"/>
        </w:rPr>
        <w:t xml:space="preserve"> je hodnota a korigovaná hodnota kvantitativního parametru obohaceného vzorku (neznámý vzorek a přídavek standardu) na objem.</w:t>
      </w:r>
    </w:p>
    <w:p w:rsidR="002A28B0" w:rsidRPr="00F61EE8" w:rsidRDefault="002A28B0" w:rsidP="002A28B0">
      <w:pPr>
        <w:tabs>
          <w:tab w:val="left" w:pos="1200"/>
        </w:tabs>
        <w:spacing w:line="240" w:lineRule="auto"/>
        <w:ind w:left="357"/>
        <w:rPr>
          <w:rFonts w:cstheme="minorHAnsi"/>
          <w:iCs/>
          <w:lang w:val="fr-FR"/>
        </w:rPr>
      </w:pPr>
      <w:r w:rsidRPr="00F61EE8">
        <w:rPr>
          <w:rFonts w:cstheme="minorHAnsi"/>
          <w:iCs/>
          <w:lang w:val="fr-FR"/>
        </w:rPr>
        <w:t>U takto vypočtené koncentrace se již do výpočtu nezohledňuje použité ředění vzorku.</w:t>
      </w:r>
    </w:p>
    <w:p w:rsidR="002A28B0" w:rsidRPr="002A28B0" w:rsidRDefault="00B80DA0" w:rsidP="0061228E">
      <w:pPr>
        <w:jc w:val="both"/>
      </w:pPr>
      <w:r>
        <w:t>Pozor! Pokud provádíme jeden přídavek standardu aspoň 2</w:t>
      </w:r>
      <w:r>
        <w:rPr>
          <w:rFonts w:cstheme="minorHAnsi"/>
        </w:rPr>
        <w:t>×</w:t>
      </w:r>
      <w:r>
        <w:t>, tj. 2</w:t>
      </w:r>
      <w:r>
        <w:rPr>
          <w:rFonts w:cstheme="minorHAnsi"/>
        </w:rPr>
        <w:t>×</w:t>
      </w:r>
      <w:r>
        <w:t xml:space="preserve"> opakujeme měření stejného přídavku standardu, obdržíme 2 výsledky, které statisticky zpracujeme dle </w:t>
      </w:r>
      <w:proofErr w:type="spellStart"/>
      <w:r>
        <w:t>Dean</w:t>
      </w:r>
      <w:proofErr w:type="spellEnd"/>
      <w:r>
        <w:t>-</w:t>
      </w:r>
      <w:proofErr w:type="spellStart"/>
      <w:r>
        <w:t>Dixona</w:t>
      </w:r>
      <w:proofErr w:type="spellEnd"/>
      <w:r>
        <w:t>.</w:t>
      </w:r>
    </w:p>
    <w:p w:rsidR="00353F60" w:rsidRPr="00213043" w:rsidRDefault="005765DC" w:rsidP="00D8765A">
      <w:pPr>
        <w:jc w:val="both"/>
      </w:pPr>
      <w:r w:rsidRPr="00213043">
        <w:t xml:space="preserve">Nezapomeneme započítat ředění vzorku, a to i při stanovení nejistoty podle vztahů na str. 163. </w:t>
      </w:r>
      <w:r w:rsidR="00FC795D" w:rsidRPr="00213043">
        <w:t>Byl-li vzorek zředěn např. 100</w:t>
      </w:r>
      <w:r w:rsidR="00E5645A" w:rsidRPr="00213043">
        <w:rPr>
          <w:rFonts w:cstheme="minorHAnsi"/>
        </w:rPr>
        <w:t>×</w:t>
      </w:r>
      <w:r w:rsidR="00FC795D" w:rsidRPr="00213043">
        <w:t>, musíme 100</w:t>
      </w:r>
      <w:r w:rsidR="00E5645A" w:rsidRPr="00213043">
        <w:rPr>
          <w:rFonts w:cstheme="minorHAnsi"/>
        </w:rPr>
        <w:t>×</w:t>
      </w:r>
      <w:r w:rsidR="00FC795D" w:rsidRPr="00213043">
        <w:t xml:space="preserve"> vynásobit nejen koncentraci, ale i její nejistotu. Pokud se měla zjistit hmotnost analytu ve vzorku, musíme přepočítat zjištěnou koncentraci na mg nebo g. Opět je třeba stejně přepočítat i nejistotu z koncentrace na hmotnost.</w:t>
      </w:r>
      <w:r w:rsidR="003E3D9B" w:rsidRPr="00213043">
        <w:t xml:space="preserve"> I když někdy pracujeme při analýze s látkovým množstvím, obsah ve vzorku převedeme i s nejistotou na hmotnost v mg nebo g.</w:t>
      </w:r>
    </w:p>
    <w:p w:rsidR="00075164" w:rsidRPr="00213043" w:rsidRDefault="00075164" w:rsidP="00D8765A">
      <w:pPr>
        <w:jc w:val="both"/>
      </w:pPr>
      <w:r w:rsidRPr="00213043">
        <w:t xml:space="preserve">Jestliže provádíme opakované měření pro stanovení veličin bez použití kalibrační závislosti (např. retenční faktor, kapacitní faktor, počet teoretických pater a jejich výškový ekvivalent), použijeme pro odhad nejistoty </w:t>
      </w:r>
      <w:proofErr w:type="spellStart"/>
      <w:r w:rsidRPr="00213043">
        <w:t>Dean</w:t>
      </w:r>
      <w:proofErr w:type="spellEnd"/>
      <w:r w:rsidRPr="00213043">
        <w:t>-</w:t>
      </w:r>
      <w:proofErr w:type="spellStart"/>
      <w:r w:rsidRPr="00213043">
        <w:t>Dixonův</w:t>
      </w:r>
      <w:proofErr w:type="spellEnd"/>
      <w:r w:rsidRPr="00213043">
        <w:t xml:space="preserve"> (pro malý počet opakování) nebo jiný odpovídající </w:t>
      </w:r>
      <w:r w:rsidR="00A538DE" w:rsidRPr="00213043">
        <w:t xml:space="preserve">přímý </w:t>
      </w:r>
      <w:r w:rsidRPr="00213043">
        <w:t>postup.</w:t>
      </w:r>
      <w:r w:rsidR="00A538DE" w:rsidRPr="00213043">
        <w:t xml:space="preserve"> Platí to i pro výpočet koncentrace bílkovin ve vzorku z empirických vzorců. Pro každou vlnovou délku vypočítáme průměrnou absorbanci z jejího opakovaného měření. </w:t>
      </w:r>
      <w:r w:rsidR="007C1E17" w:rsidRPr="00213043">
        <w:t xml:space="preserve">Do vzorce pak dosazujeme průměry příslušných absorbancí. </w:t>
      </w:r>
      <w:proofErr w:type="spellStart"/>
      <w:r w:rsidR="007C1E17" w:rsidRPr="00213043">
        <w:t>Dean</w:t>
      </w:r>
      <w:proofErr w:type="spellEnd"/>
      <w:r w:rsidR="007C1E17" w:rsidRPr="00213043">
        <w:t>-</w:t>
      </w:r>
      <w:proofErr w:type="spellStart"/>
      <w:r w:rsidR="007C1E17" w:rsidRPr="00213043">
        <w:t>Dixonovým</w:t>
      </w:r>
      <w:proofErr w:type="spellEnd"/>
      <w:r w:rsidR="007C1E17" w:rsidRPr="00213043">
        <w:t xml:space="preserve"> postupem vypočítáme nejistotu ke každé absorbanci. Nejistotu koncentrace vypočítáme ze zákona šíření chyb. Zde postačí pro stanovení relativní nejistoty koncentrace odmocnina ze součtu kvadrátů relativních nejistot dosazených absorbancí.</w:t>
      </w:r>
      <w:r w:rsidR="00F3560B" w:rsidRPr="00213043">
        <w:t xml:space="preserve"> Kdybychom počítali koncentraci z příslušného empirického vzorce dosazováním různých dílčích absorbancí, pak nevíme, jaké kombinace vlastně zvolit, případně jestli dosadit všechny možné kombinace absorbancí do vzorce. To by ovšem počet vypočtených </w:t>
      </w:r>
      <w:r w:rsidR="00BE3F33" w:rsidRPr="00213043">
        <w:t xml:space="preserve">dílčích </w:t>
      </w:r>
      <w:r w:rsidR="00F3560B" w:rsidRPr="00213043">
        <w:t xml:space="preserve">koncentrací </w:t>
      </w:r>
      <w:r w:rsidR="00D07FE8" w:rsidRPr="00213043">
        <w:t>převýšil počet opakovaného měření absorbancí.</w:t>
      </w:r>
    </w:p>
    <w:p w:rsidR="00223158" w:rsidRPr="00213043" w:rsidRDefault="00223158" w:rsidP="00D8765A">
      <w:pPr>
        <w:jc w:val="both"/>
        <w:rPr>
          <w:i/>
        </w:rPr>
      </w:pPr>
      <w:r w:rsidRPr="00213043">
        <w:rPr>
          <w:i/>
        </w:rPr>
        <w:t>Zaokrouhlování IS</w:t>
      </w:r>
    </w:p>
    <w:p w:rsidR="00E945B6" w:rsidRPr="00213043" w:rsidRDefault="00073F9E" w:rsidP="00D8765A">
      <w:pPr>
        <w:jc w:val="both"/>
      </w:pPr>
      <w:r w:rsidRPr="00213043">
        <w:t xml:space="preserve">Nejistotu zaokrouhlíme na 2 </w:t>
      </w:r>
      <w:r w:rsidR="002D5407" w:rsidRPr="00213043">
        <w:t xml:space="preserve">platné </w:t>
      </w:r>
      <w:r w:rsidRPr="00213043">
        <w:t xml:space="preserve">číslice. </w:t>
      </w:r>
      <w:r w:rsidR="00060922" w:rsidRPr="00213043">
        <w:t xml:space="preserve">Na stejný řád, </w:t>
      </w:r>
      <w:r w:rsidR="003443E5" w:rsidRPr="00213043">
        <w:t xml:space="preserve">v </w:t>
      </w:r>
      <w:r w:rsidR="00060922" w:rsidRPr="00213043">
        <w:t>jak</w:t>
      </w:r>
      <w:r w:rsidR="003443E5" w:rsidRPr="00213043">
        <w:t>ém</w:t>
      </w:r>
      <w:r w:rsidR="00060922" w:rsidRPr="00213043">
        <w:t xml:space="preserve"> </w:t>
      </w:r>
      <w:r w:rsidR="003443E5" w:rsidRPr="00213043">
        <w:t>je</w:t>
      </w:r>
      <w:r w:rsidR="00060922" w:rsidRPr="00213043">
        <w:t xml:space="preserve"> druhá platná číslice (zleva) nejistoty, zaokrouhlíme i výslednou hodnotu, kterou je nejčastěji aritmetický průměr, někdy medián.</w:t>
      </w:r>
      <w:r w:rsidR="00632B1B" w:rsidRPr="00213043">
        <w:t xml:space="preserve"> </w:t>
      </w:r>
      <w:r w:rsidR="00632B1B" w:rsidRPr="00213043">
        <w:lastRenderedPageBreak/>
        <w:t>Uvádění více číslic nejistoty by mohlo vést k paradoxu, že snad známe hodnotu nejistoty přesněji než samotného výsledku.</w:t>
      </w:r>
      <w:r w:rsidR="00060922" w:rsidRPr="00213043">
        <w:t xml:space="preserve"> </w:t>
      </w:r>
      <w:r w:rsidR="001E07F3" w:rsidRPr="00213043">
        <w:t xml:space="preserve">Je to vlastně odhad, i když se musí vypočítat. </w:t>
      </w:r>
      <w:r w:rsidRPr="00213043">
        <w:t>Nejde o počet desetinných míst.</w:t>
      </w:r>
      <w:r w:rsidR="00787001" w:rsidRPr="00213043">
        <w:t xml:space="preserve"> N</w:t>
      </w:r>
      <w:r w:rsidRPr="00213043">
        <w:t xml:space="preserve">apř. u čísla </w:t>
      </w:r>
      <w:r w:rsidR="001E07F3" w:rsidRPr="00213043">
        <w:t>(</w:t>
      </w:r>
      <w:r w:rsidRPr="00213043">
        <w:t>257</w:t>
      </w:r>
      <w:r w:rsidR="00BE4692" w:rsidRPr="00213043">
        <w:t>,</w:t>
      </w:r>
      <w:r w:rsidR="00060922" w:rsidRPr="00213043">
        <w:t>3</w:t>
      </w:r>
      <w:r w:rsidRPr="00213043">
        <w:t xml:space="preserve"> </w:t>
      </w:r>
      <w:r w:rsidRPr="00213043">
        <w:rPr>
          <w:rFonts w:cstheme="minorHAnsi"/>
        </w:rPr>
        <w:t>±</w:t>
      </w:r>
      <w:r w:rsidRPr="00213043">
        <w:t xml:space="preserve"> 1</w:t>
      </w:r>
      <w:r w:rsidR="00030D1D" w:rsidRPr="00213043">
        <w:t>,</w:t>
      </w:r>
      <w:r w:rsidRPr="00213043">
        <w:t>2</w:t>
      </w:r>
      <w:r w:rsidR="001E07F3" w:rsidRPr="00213043">
        <w:t xml:space="preserve">) </w:t>
      </w:r>
      <w:proofErr w:type="spellStart"/>
      <w:r w:rsidR="001E07F3" w:rsidRPr="00213043">
        <w:t>Vs</w:t>
      </w:r>
      <w:proofErr w:type="spellEnd"/>
      <w:r w:rsidRPr="00213043">
        <w:t xml:space="preserve"> je nejistota 1</w:t>
      </w:r>
      <w:r w:rsidR="00030D1D" w:rsidRPr="00213043">
        <w:t>,</w:t>
      </w:r>
      <w:r w:rsidRPr="00213043">
        <w:t>2</w:t>
      </w:r>
      <w:r w:rsidR="001E07F3" w:rsidRPr="00213043">
        <w:t> </w:t>
      </w:r>
      <w:proofErr w:type="spellStart"/>
      <w:r w:rsidR="001E07F3" w:rsidRPr="00213043">
        <w:t>Vs</w:t>
      </w:r>
      <w:proofErr w:type="spellEnd"/>
      <w:r w:rsidRPr="00213043">
        <w:t xml:space="preserve"> menší než půl procenta</w:t>
      </w:r>
      <w:r w:rsidR="00787001" w:rsidRPr="00213043">
        <w:t>,</w:t>
      </w:r>
      <w:r w:rsidRPr="00213043">
        <w:t xml:space="preserve"> u výsledku </w:t>
      </w:r>
      <w:r w:rsidR="001E07F3" w:rsidRPr="00213043">
        <w:t>(</w:t>
      </w:r>
      <w:r w:rsidRPr="00213043">
        <w:t xml:space="preserve">0,0026 </w:t>
      </w:r>
      <w:r w:rsidRPr="00213043">
        <w:rPr>
          <w:rFonts w:cstheme="minorHAnsi"/>
        </w:rPr>
        <w:t>± 0,0012</w:t>
      </w:r>
      <w:r w:rsidR="001E07F3" w:rsidRPr="00213043">
        <w:rPr>
          <w:rFonts w:cstheme="minorHAnsi"/>
        </w:rPr>
        <w:t>) </w:t>
      </w:r>
      <w:r w:rsidR="00E215F9" w:rsidRPr="00213043">
        <w:rPr>
          <w:rFonts w:cstheme="minorHAnsi"/>
        </w:rPr>
        <w:t>mg l</w:t>
      </w:r>
      <w:r w:rsidR="00E215F9" w:rsidRPr="00213043">
        <w:rPr>
          <w:rFonts w:cstheme="minorHAnsi"/>
          <w:vertAlign w:val="superscript"/>
        </w:rPr>
        <w:t>-1</w:t>
      </w:r>
      <w:r w:rsidRPr="00213043">
        <w:rPr>
          <w:rFonts w:cstheme="minorHAnsi"/>
        </w:rPr>
        <w:t xml:space="preserve"> činí nejistota již 46 %. </w:t>
      </w:r>
      <w:r w:rsidR="001E07F3" w:rsidRPr="00213043">
        <w:rPr>
          <w:rFonts w:cstheme="minorHAnsi"/>
        </w:rPr>
        <w:t>J</w:t>
      </w:r>
      <w:r w:rsidRPr="00213043">
        <w:rPr>
          <w:rFonts w:cstheme="minorHAnsi"/>
        </w:rPr>
        <w:t>e tudíž dosti nepřesný.</w:t>
      </w:r>
      <w:r w:rsidR="001E07F3" w:rsidRPr="00213043">
        <w:rPr>
          <w:rFonts w:cstheme="minorHAnsi"/>
        </w:rPr>
        <w:t xml:space="preserve"> Nastavení zobrazení určitého počtu desetinných míst v buňce Excelu nemá se správným zápisem nic společného. Někdy to může být náhodou správně, jindy nikoliv. Je to jen estetická záležitost.</w:t>
      </w:r>
      <w:r w:rsidR="00E215F9" w:rsidRPr="00213043">
        <w:rPr>
          <w:rFonts w:cstheme="minorHAnsi"/>
        </w:rPr>
        <w:t xml:space="preserve"> Nicméně u dílčích výpočtů pracujeme s mnohem větším počtem číslic a zaokrouhlujeme až výslednou hodnotu, abychom do výsledku nevnášeli chyby dílčích zaokrouhlování.</w:t>
      </w:r>
      <w:r w:rsidR="003F633D" w:rsidRPr="00213043">
        <w:rPr>
          <w:rFonts w:cstheme="minorHAnsi"/>
        </w:rPr>
        <w:t xml:space="preserve"> Je také třeba si uvědomit, že </w:t>
      </w:r>
      <w:r w:rsidR="00BE3F33" w:rsidRPr="00213043">
        <w:rPr>
          <w:rFonts w:cstheme="minorHAnsi"/>
        </w:rPr>
        <w:t>standardizace</w:t>
      </w:r>
      <w:r w:rsidR="003F633D" w:rsidRPr="00213043">
        <w:rPr>
          <w:rFonts w:cstheme="minorHAnsi"/>
        </w:rPr>
        <w:t xml:space="preserve"> odměrného roztoku by měla zpřesnit znalost jeho aktuální koncentrace, proto nedává smysl zaokrouhlit </w:t>
      </w:r>
      <w:r w:rsidR="00200019" w:rsidRPr="00213043">
        <w:rPr>
          <w:rFonts w:cstheme="minorHAnsi"/>
        </w:rPr>
        <w:t xml:space="preserve">faktor </w:t>
      </w:r>
      <w:r w:rsidR="009521A2" w:rsidRPr="00213043">
        <w:rPr>
          <w:rFonts w:cstheme="minorHAnsi"/>
        </w:rPr>
        <w:t xml:space="preserve">odměrného roztoku </w:t>
      </w:r>
      <w:r w:rsidR="00E0070A" w:rsidRPr="00213043">
        <w:rPr>
          <w:rFonts w:cstheme="minorHAnsi"/>
        </w:rPr>
        <w:t xml:space="preserve">jen </w:t>
      </w:r>
      <w:r w:rsidR="00200019" w:rsidRPr="00213043">
        <w:rPr>
          <w:rFonts w:cstheme="minorHAnsi"/>
        </w:rPr>
        <w:t>na 1 nebo 2 číslice, i když jeho stanovení je také zatíženo experimentální chybou.</w:t>
      </w:r>
      <w:r w:rsidR="00BE4692" w:rsidRPr="00213043">
        <w:rPr>
          <w:rFonts w:cstheme="minorHAnsi"/>
        </w:rPr>
        <w:t xml:space="preserve"> </w:t>
      </w:r>
      <w:r w:rsidR="00E945B6" w:rsidRPr="00213043">
        <w:rPr>
          <w:rFonts w:cstheme="minorHAnsi"/>
        </w:rPr>
        <w:t xml:space="preserve">Uvádíme jej na 4 platné číslice. </w:t>
      </w:r>
    </w:p>
    <w:p w:rsidR="00223158" w:rsidRPr="00213043" w:rsidRDefault="00223158" w:rsidP="00D8765A">
      <w:pPr>
        <w:jc w:val="both"/>
        <w:rPr>
          <w:i/>
        </w:rPr>
      </w:pPr>
      <w:r w:rsidRPr="00213043">
        <w:rPr>
          <w:i/>
        </w:rPr>
        <w:t>Testy shodnosti výsledků</w:t>
      </w:r>
    </w:p>
    <w:p w:rsidR="005E1ECB" w:rsidRPr="00213043" w:rsidRDefault="005E1ECB" w:rsidP="00D8765A">
      <w:pPr>
        <w:jc w:val="both"/>
      </w:pPr>
      <w:r w:rsidRPr="00213043">
        <w:t xml:space="preserve">Ve skriptech je uvedeno několik testů shody výsledků. Jejich použití je však omezeno na dvojici hodnot (párové testy) a neměli bychom testovat více výsledků po dvojicích systémem „každý s každým“. Dopustili bychom se určité chyby ve vyhodnocení. Měli bychom správně testovat všechny hodnoty </w:t>
      </w:r>
      <w:r w:rsidR="00A97312" w:rsidRPr="00213043">
        <w:t xml:space="preserve">navzájem </w:t>
      </w:r>
      <w:r w:rsidRPr="00213043">
        <w:t>najednou. Tento postup se nazývá analýza rozptylu, neboli ANOVA (</w:t>
      </w:r>
      <w:proofErr w:type="spellStart"/>
      <w:r w:rsidRPr="00213043">
        <w:t>Analysis</w:t>
      </w:r>
      <w:proofErr w:type="spellEnd"/>
      <w:r w:rsidRPr="00213043">
        <w:t xml:space="preserve"> </w:t>
      </w:r>
      <w:proofErr w:type="spellStart"/>
      <w:r w:rsidR="00A97312" w:rsidRPr="00213043">
        <w:t>o</w:t>
      </w:r>
      <w:r w:rsidRPr="00213043">
        <w:t>f</w:t>
      </w:r>
      <w:proofErr w:type="spellEnd"/>
      <w:r w:rsidRPr="00213043">
        <w:t xml:space="preserve"> Variance). </w:t>
      </w:r>
      <w:r w:rsidR="00BE2CC6" w:rsidRPr="00213043">
        <w:t xml:space="preserve">V tomto cvičení si ale dovolíme tuto skutečnost zanedbat. Je tu ještě další problém s využitelností </w:t>
      </w:r>
      <w:r w:rsidR="002841E0">
        <w:t xml:space="preserve">„běžných“ </w:t>
      </w:r>
      <w:r w:rsidR="00BE2CC6" w:rsidRPr="00213043">
        <w:t>párových testů</w:t>
      </w:r>
      <w:r w:rsidR="002841E0">
        <w:t xml:space="preserve"> ve skriptech</w:t>
      </w:r>
      <w:r w:rsidR="00BE2CC6" w:rsidRPr="00213043">
        <w:t xml:space="preserve">. </w:t>
      </w:r>
      <w:r w:rsidR="002841E0">
        <w:t>Nejsou vhodné tam, kde jsme dospěli k výsledku využitím kalibrační závislosti a nejistota je dána převážně jejím příspěvkem. Obecněj</w:t>
      </w:r>
      <w:r w:rsidR="00B10BDB" w:rsidRPr="00213043">
        <w:t>ším kritériem shody může být vztah:</w:t>
      </w:r>
    </w:p>
    <w:p w:rsidR="00B10BDB" w:rsidRPr="00213043" w:rsidRDefault="008D51EE" w:rsidP="00D8765A">
      <w:pPr>
        <w:jc w:val="both"/>
      </w:pPr>
      <m:oMathPara>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&lt;</m:t>
          </m:r>
          <m:rad>
            <m:radPr>
              <m:degHide m:val="on"/>
              <m:ctrlPr>
                <w:rPr>
                  <w:rFonts w:ascii="Cambria Math" w:hAnsi="Cambria Math"/>
                  <w:i/>
                </w:rPr>
              </m:ctrlPr>
            </m:radPr>
            <m:deg/>
            <m:e>
              <m:r>
                <w:rPr>
                  <w:rFonts w:ascii="Cambria Math" w:hAnsi="Cambria Math"/>
                </w:rPr>
                <m:t>(</m:t>
              </m:r>
              <m:sSub>
                <m:sSubPr>
                  <m:ctrlPr>
                    <w:rPr>
                      <w:rFonts w:ascii="Cambria Math" w:hAnsi="Cambria Math"/>
                      <w:i/>
                    </w:rPr>
                  </m:ctrlPr>
                </m:sSubPr>
                <m:e>
                  <m:r>
                    <w:rPr>
                      <w:rFonts w:ascii="Cambria Math" w:hAnsi="Cambria Math"/>
                    </w:rPr>
                    <m:t>δx</m:t>
                  </m:r>
                </m:e>
                <m:sub>
                  <m:r>
                    <w:rPr>
                      <w:rFonts w:ascii="Cambria Math" w:hAnsi="Cambria Math"/>
                    </w:rPr>
                    <m:t>1</m:t>
                  </m:r>
                </m:sub>
              </m:sSub>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δx</m:t>
                  </m:r>
                </m:e>
                <m:sub>
                  <m:r>
                    <w:rPr>
                      <w:rFonts w:ascii="Cambria Math" w:hAnsi="Cambria Math"/>
                    </w:rPr>
                    <m:t>2</m:t>
                  </m:r>
                </m:sub>
              </m:sSub>
              <m:sSup>
                <m:sSupPr>
                  <m:ctrlPr>
                    <w:rPr>
                      <w:rFonts w:ascii="Cambria Math" w:hAnsi="Cambria Math"/>
                      <w:i/>
                    </w:rPr>
                  </m:ctrlPr>
                </m:sSupPr>
                <m:e>
                  <m:r>
                    <w:rPr>
                      <w:rFonts w:ascii="Cambria Math" w:hAnsi="Cambria Math"/>
                    </w:rPr>
                    <m:t>)</m:t>
                  </m:r>
                </m:e>
                <m:sup>
                  <m:r>
                    <w:rPr>
                      <w:rFonts w:ascii="Cambria Math" w:hAnsi="Cambria Math"/>
                    </w:rPr>
                    <m:t>2</m:t>
                  </m:r>
                </m:sup>
              </m:sSup>
            </m:e>
          </m:rad>
        </m:oMath>
      </m:oMathPara>
    </w:p>
    <w:p w:rsidR="00E0070A" w:rsidRPr="00213043" w:rsidRDefault="00475B21" w:rsidP="00D8765A">
      <w:pPr>
        <w:jc w:val="both"/>
      </w:pPr>
      <w:r w:rsidRPr="00213043">
        <w:t>k</w:t>
      </w:r>
      <w:r w:rsidR="00B57577" w:rsidRPr="00213043">
        <w:t xml:space="preserve">de </w:t>
      </w:r>
      <w:r w:rsidR="00B57577" w:rsidRPr="00213043">
        <w:rPr>
          <w:i/>
        </w:rPr>
        <w:t>x</w:t>
      </w:r>
      <w:r w:rsidR="00B57577" w:rsidRPr="00213043">
        <w:rPr>
          <w:i/>
          <w:vertAlign w:val="subscript"/>
        </w:rPr>
        <w:t>1</w:t>
      </w:r>
      <w:r w:rsidR="00B57577" w:rsidRPr="00213043">
        <w:rPr>
          <w:i/>
        </w:rPr>
        <w:t>, x</w:t>
      </w:r>
      <w:r w:rsidR="00B57577" w:rsidRPr="00213043">
        <w:rPr>
          <w:i/>
          <w:vertAlign w:val="subscript"/>
        </w:rPr>
        <w:t>2</w:t>
      </w:r>
      <w:r w:rsidR="00B57577" w:rsidRPr="00213043">
        <w:t xml:space="preserve"> jsou testované hodnoty a </w:t>
      </w:r>
      <w:r w:rsidR="00B57577" w:rsidRPr="00213043">
        <w:rPr>
          <w:rFonts w:ascii="Symbol" w:hAnsi="Symbol"/>
          <w:i/>
        </w:rPr>
        <w:t></w:t>
      </w:r>
      <w:r w:rsidR="00B57577" w:rsidRPr="00213043">
        <w:rPr>
          <w:rFonts w:cstheme="minorHAnsi"/>
          <w:i/>
        </w:rPr>
        <w:t>x</w:t>
      </w:r>
      <w:r w:rsidR="00B57577" w:rsidRPr="00213043">
        <w:rPr>
          <w:rFonts w:cstheme="minorHAnsi"/>
          <w:i/>
          <w:vertAlign w:val="subscript"/>
        </w:rPr>
        <w:t>1</w:t>
      </w:r>
      <w:r w:rsidR="00B57577" w:rsidRPr="00213043">
        <w:rPr>
          <w:rFonts w:cstheme="minorHAnsi"/>
          <w:i/>
        </w:rPr>
        <w:t xml:space="preserve">, </w:t>
      </w:r>
      <w:r w:rsidR="00B57577" w:rsidRPr="00213043">
        <w:rPr>
          <w:rFonts w:ascii="Symbol" w:hAnsi="Symbol"/>
          <w:i/>
        </w:rPr>
        <w:t></w:t>
      </w:r>
      <w:r w:rsidR="00B57577" w:rsidRPr="00213043">
        <w:rPr>
          <w:rFonts w:cstheme="minorHAnsi"/>
          <w:i/>
        </w:rPr>
        <w:t>x</w:t>
      </w:r>
      <w:r w:rsidR="00B57577" w:rsidRPr="00213043">
        <w:rPr>
          <w:rFonts w:cstheme="minorHAnsi"/>
          <w:i/>
          <w:vertAlign w:val="subscript"/>
        </w:rPr>
        <w:t>2</w:t>
      </w:r>
      <w:r w:rsidR="00B57577" w:rsidRPr="00213043">
        <w:rPr>
          <w:rFonts w:cstheme="minorHAnsi"/>
        </w:rPr>
        <w:t xml:space="preserve"> jsou jejich nejistoty. </w:t>
      </w:r>
      <w:r w:rsidR="00E0070A" w:rsidRPr="00213043">
        <w:t>Když zjišťujeme pomocí statistických testů shodu dvou výsledků, měly by se jejich nejistoty vztahovat ke stejné pravděpodobnosti, obvykle 95 %. Pokud víme, že tomu tak není, musíme některou z nejistot přepočítat na stejnou pravděpodobnost. To nemusí být snadné, jestliže neznáme způsob jejího</w:t>
      </w:r>
      <w:r w:rsidR="00D958B4" w:rsidRPr="00213043">
        <w:t xml:space="preserve"> výpočtu a počet opakování. I když v případě výpočtu dle </w:t>
      </w:r>
      <w:proofErr w:type="spellStart"/>
      <w:r w:rsidR="00D958B4" w:rsidRPr="00213043">
        <w:t>Dean</w:t>
      </w:r>
      <w:proofErr w:type="spellEnd"/>
      <w:r w:rsidR="00D958B4" w:rsidRPr="00213043">
        <w:t>-</w:t>
      </w:r>
      <w:proofErr w:type="spellStart"/>
      <w:r w:rsidR="00D958B4" w:rsidRPr="00213043">
        <w:t>Dixona</w:t>
      </w:r>
      <w:proofErr w:type="spellEnd"/>
      <w:r w:rsidR="00D958B4" w:rsidRPr="00213043">
        <w:t xml:space="preserve"> nebo Studentova rozdělení vyměníme koeficient </w:t>
      </w:r>
      <w:r w:rsidR="00D958B4" w:rsidRPr="00213043">
        <w:rPr>
          <w:i/>
        </w:rPr>
        <w:t>K</w:t>
      </w:r>
      <w:r w:rsidR="00D958B4" w:rsidRPr="00213043">
        <w:t xml:space="preserve"> nebo </w:t>
      </w:r>
      <w:r w:rsidR="00D958B4" w:rsidRPr="00213043">
        <w:rPr>
          <w:i/>
        </w:rPr>
        <w:t>t</w:t>
      </w:r>
      <w:r w:rsidR="00D958B4" w:rsidRPr="00213043">
        <w:t xml:space="preserve"> za jiný, odpovídající požadované pravděpodobnosti, nezískáme vzhledem k zaokrouhlování bez znalosti původních dat také</w:t>
      </w:r>
      <w:r w:rsidR="007822B5" w:rsidRPr="00213043">
        <w:t xml:space="preserve"> původní</w:t>
      </w:r>
      <w:r w:rsidR="00D958B4" w:rsidRPr="00213043">
        <w:t xml:space="preserve"> rozpětí nebo směrodatnou odchylku. T</w:t>
      </w:r>
      <w:r w:rsidR="007B7C76" w:rsidRPr="00213043">
        <w:t>akto</w:t>
      </w:r>
      <w:r w:rsidR="00D958B4" w:rsidRPr="00213043">
        <w:t xml:space="preserve"> přepočítaný interval spolehlivosti bude zatížen určitou </w:t>
      </w:r>
      <w:r w:rsidR="007B7C76" w:rsidRPr="00213043">
        <w:t>p</w:t>
      </w:r>
      <w:r w:rsidR="00D958B4" w:rsidRPr="00213043">
        <w:t>očetní</w:t>
      </w:r>
      <w:r w:rsidR="007B7C76" w:rsidRPr="00213043">
        <w:t xml:space="preserve"> </w:t>
      </w:r>
      <w:r w:rsidR="00D958B4" w:rsidRPr="00213043">
        <w:t>chybou.</w:t>
      </w:r>
    </w:p>
    <w:p w:rsidR="00223158" w:rsidRPr="00213043" w:rsidRDefault="00223158" w:rsidP="00D8765A">
      <w:pPr>
        <w:jc w:val="both"/>
        <w:rPr>
          <w:i/>
        </w:rPr>
      </w:pPr>
      <w:r w:rsidRPr="00213043">
        <w:rPr>
          <w:i/>
        </w:rPr>
        <w:t>Testy významnosti trendů</w:t>
      </w:r>
      <w:r w:rsidR="00310AF2" w:rsidRPr="00213043">
        <w:rPr>
          <w:i/>
        </w:rPr>
        <w:t>, úseků, směrnic</w:t>
      </w:r>
    </w:p>
    <w:p w:rsidR="00310AF2" w:rsidRPr="00213043" w:rsidRDefault="00310AF2" w:rsidP="00D8765A">
      <w:pPr>
        <w:jc w:val="both"/>
      </w:pPr>
      <w:r w:rsidRPr="00213043">
        <w:t xml:space="preserve">V tomto </w:t>
      </w:r>
      <w:r w:rsidR="00566D22" w:rsidRPr="00213043">
        <w:t xml:space="preserve">praktiku </w:t>
      </w:r>
      <w:r w:rsidRPr="00213043">
        <w:t xml:space="preserve">se použijí zejména tam, kde je třeba zjistit, zda je úsek lineární kalibrační závislosti významný. Jednak v případě, že je po provedení lineární regrese záporný, a také tam, kde je i po odečtení pozadí či blanku kladný, ale teoreticky by měl být nulový. </w:t>
      </w:r>
      <w:r w:rsidR="002B4CED" w:rsidRPr="00213043">
        <w:t>Záporný úsek smysl nedává</w:t>
      </w:r>
      <w:r w:rsidRPr="00213043">
        <w:t>, a tudíž by měl po otestování vyjít jako nevýznamný. Regrese by se měla poté provést znovu se zafixovaným nulovým úsekem.</w:t>
      </w:r>
      <w:r w:rsidR="00E1139E" w:rsidRPr="00213043">
        <w:t xml:space="preserve"> </w:t>
      </w:r>
      <w:r w:rsidR="002B4CED" w:rsidRPr="00213043">
        <w:t xml:space="preserve">Významný záporný úsek může vyjít z důvodu malé citlivosti pro nízké koncentrace. Směrnice je nižší než pro vyšší koncentrace a proložení celé závislosti přímkou nedává smysl. </w:t>
      </w:r>
      <w:r w:rsidR="004F275F" w:rsidRPr="00213043">
        <w:t>Je třeba koncentrační rozmezí rozdělit a proložit jen část,</w:t>
      </w:r>
      <w:r w:rsidR="001F7742" w:rsidRPr="00213043">
        <w:t xml:space="preserve"> </w:t>
      </w:r>
      <w:r w:rsidR="003243EF" w:rsidRPr="00213043">
        <w:t xml:space="preserve">kterou je možno považovat za lineární a </w:t>
      </w:r>
      <w:r w:rsidR="004F275F" w:rsidRPr="00213043">
        <w:t>do níž spadají signály analytu, pokud to z hlediska limitu kvantifikace a rozptylu bodů dává smysl.</w:t>
      </w:r>
      <w:r w:rsidR="003243EF" w:rsidRPr="00213043">
        <w:t xml:space="preserve"> Testování významnosti směrnice se využije např. při zjišťování míry interference osnovy vzorku. To je případ např. stanovení mědi ve víně metodou AAS. Zkoumáme vliv přítomnosti etanolu, draselné a vápenaté soli na signál analytu. </w:t>
      </w:r>
      <w:r w:rsidR="00D040C9" w:rsidRPr="00213043">
        <w:t>Z</w:t>
      </w:r>
      <w:r w:rsidR="003243EF" w:rsidRPr="00213043">
        <w:t>ávislost</w:t>
      </w:r>
      <w:r w:rsidR="00D040C9" w:rsidRPr="00213043">
        <w:t xml:space="preserve"> signálu </w:t>
      </w:r>
      <w:proofErr w:type="spellStart"/>
      <w:r w:rsidR="00043E91">
        <w:t>analytu</w:t>
      </w:r>
      <w:proofErr w:type="spellEnd"/>
      <w:r w:rsidR="003243EF" w:rsidRPr="00213043">
        <w:t xml:space="preserve"> na koncentraci </w:t>
      </w:r>
      <w:proofErr w:type="spellStart"/>
      <w:r w:rsidR="003243EF" w:rsidRPr="00213043">
        <w:t>interferentu</w:t>
      </w:r>
      <w:proofErr w:type="spellEnd"/>
      <w:r w:rsidR="003243EF" w:rsidRPr="00213043">
        <w:t xml:space="preserve"> </w:t>
      </w:r>
      <w:r w:rsidR="003243EF" w:rsidRPr="00213043">
        <w:lastRenderedPageBreak/>
        <w:t>nemusí být lineární, dokonce ani monotónní</w:t>
      </w:r>
      <w:r w:rsidR="004C0506" w:rsidRPr="00213043">
        <w:t xml:space="preserve"> ve vyšetřovaném intervalu koncentrací</w:t>
      </w:r>
      <w:r w:rsidR="003243EF" w:rsidRPr="00213043">
        <w:t xml:space="preserve">. </w:t>
      </w:r>
      <w:r w:rsidR="004C0506" w:rsidRPr="00213043">
        <w:t>Přesto můžeme celou nebo postupně části této závislosti proložit přímkou a testovat, zda se její směrnice významně liší od nuly. Pokud tedy t-test ukáže, že je směrnice statisticky významná, pak lze říci, že je významná i matriční interfer</w:t>
      </w:r>
      <w:r w:rsidR="00D040C9" w:rsidRPr="00213043">
        <w:t>ence. Může být kladná i záporná, zvyšuje nebo snižuje signál analytu.</w:t>
      </w:r>
    </w:p>
    <w:p w:rsidR="00353F60" w:rsidRPr="00213043" w:rsidRDefault="00D040C9" w:rsidP="00D8765A">
      <w:pPr>
        <w:jc w:val="both"/>
        <w:rPr>
          <w:i/>
        </w:rPr>
      </w:pPr>
      <w:r w:rsidRPr="00213043">
        <w:rPr>
          <w:i/>
        </w:rPr>
        <w:t>Limit detekce</w:t>
      </w:r>
      <w:r w:rsidR="00591D38" w:rsidRPr="00213043">
        <w:rPr>
          <w:i/>
        </w:rPr>
        <w:t xml:space="preserve"> (LOD)</w:t>
      </w:r>
    </w:p>
    <w:p w:rsidR="00D040C9" w:rsidRPr="00213043" w:rsidRDefault="00D040C9" w:rsidP="00D8765A">
      <w:pPr>
        <w:jc w:val="both"/>
      </w:pPr>
      <w:r w:rsidRPr="00213043">
        <w:t>Tento pojem by měl vyjadřovat skutečnost, že signál analytu už je spolehlivě rozlišitelný od kolísavého signálu pozadí.</w:t>
      </w:r>
      <w:r w:rsidR="00600991" w:rsidRPr="00213043">
        <w:t xml:space="preserve"> Existuje mnoho vztahů pro jeho výpočet. Pokud jsou založeny na rozptylu bodů kalibrační přímky, nebývají u námi využívaných metod prakticky použitelné. Vystupuje v nich např. úsek kalibrační přímky nebo predikční pásy. Body kolem kalibrační přímky nemusejí být na pohled příliš rozptýleny, přesto však </w:t>
      </w:r>
      <w:r w:rsidR="00600991" w:rsidRPr="00213043">
        <w:rPr>
          <w:i/>
        </w:rPr>
        <w:t>LOD</w:t>
      </w:r>
      <w:r w:rsidR="00600991" w:rsidRPr="00213043">
        <w:t xml:space="preserve"> vyjde nesmyslně vysoký, např. jednotky až desítky mg l</w:t>
      </w:r>
      <w:r w:rsidR="00600991" w:rsidRPr="00213043">
        <w:rPr>
          <w:vertAlign w:val="superscript"/>
        </w:rPr>
        <w:t>-1</w:t>
      </w:r>
      <w:r w:rsidR="00600991" w:rsidRPr="00213043">
        <w:t>, což bývá i uprostřed kalibrační závislosti.</w:t>
      </w:r>
      <w:r w:rsidR="00E71809" w:rsidRPr="00213043">
        <w:t xml:space="preserve"> </w:t>
      </w:r>
      <w:r w:rsidR="007909C3" w:rsidRPr="00213043">
        <w:t xml:space="preserve">Rozptyl těchto bodů nemusí vůbec souviset s citlivostí kolem úrovně pozadí. Je mnohem lepší využít </w:t>
      </w:r>
      <w:proofErr w:type="gramStart"/>
      <w:r w:rsidR="007909C3" w:rsidRPr="00213043">
        <w:t>definici 3-sigma</w:t>
      </w:r>
      <w:proofErr w:type="gramEnd"/>
      <w:r w:rsidR="007909C3" w:rsidRPr="00213043">
        <w:t>:</w:t>
      </w:r>
    </w:p>
    <w:p w:rsidR="007909C3" w:rsidRPr="00213043" w:rsidRDefault="007909C3" w:rsidP="00D8765A">
      <w:pPr>
        <w:jc w:val="both"/>
      </w:pPr>
      <m:oMathPara>
        <m:oMath>
          <m:r>
            <w:rPr>
              <w:rFonts w:ascii="Cambria Math" w:hAnsi="Cambria Math"/>
            </w:rPr>
            <m:t xml:space="preserve">LOD= </m:t>
          </m:r>
          <m:f>
            <m:fPr>
              <m:ctrlPr>
                <w:rPr>
                  <w:rFonts w:ascii="Cambria Math" w:hAnsi="Cambria Math"/>
                  <w:i/>
                </w:rPr>
              </m:ctrlPr>
            </m:fPr>
            <m:num>
              <m:r>
                <w:rPr>
                  <w:rFonts w:ascii="Cambria Math" w:hAnsi="Cambria Math"/>
                </w:rPr>
                <m:t>3σ</m:t>
              </m:r>
            </m:num>
            <m:den>
              <m:r>
                <w:rPr>
                  <w:rFonts w:ascii="Cambria Math" w:hAnsi="Cambria Math"/>
                </w:rPr>
                <m:t>S</m:t>
              </m:r>
            </m:den>
          </m:f>
        </m:oMath>
      </m:oMathPara>
    </w:p>
    <w:p w:rsidR="007909C3" w:rsidRPr="00213043" w:rsidRDefault="00675C4A" w:rsidP="00D8765A">
      <w:pPr>
        <w:jc w:val="both"/>
      </w:pPr>
      <w:r w:rsidRPr="00213043">
        <w:t xml:space="preserve">kde </w:t>
      </w:r>
      <w:r w:rsidRPr="00213043">
        <w:rPr>
          <w:rFonts w:ascii="Cambria Math" w:hAnsi="Cambria Math"/>
          <w:i/>
        </w:rPr>
        <w:t>σ</w:t>
      </w:r>
      <w:r w:rsidRPr="00213043">
        <w:t xml:space="preserve"> je směrodatná odchylka z 10 opakovaných měření signálu pozadí a </w:t>
      </w:r>
      <w:r w:rsidRPr="00213043">
        <w:rPr>
          <w:i/>
        </w:rPr>
        <w:t>S</w:t>
      </w:r>
      <w:r w:rsidRPr="00213043">
        <w:t> je směrnice kalibrační závislosti pro nízké koncentrace.</w:t>
      </w:r>
      <w:r w:rsidR="00591D38" w:rsidRPr="00213043">
        <w:t xml:space="preserve"> Pro koncentrační rozsahy kalibračních závislostí pro roztoky zhruba od 0,1 mg l</w:t>
      </w:r>
      <w:r w:rsidR="00591D38" w:rsidRPr="00213043">
        <w:rPr>
          <w:vertAlign w:val="superscript"/>
        </w:rPr>
        <w:t>-1</w:t>
      </w:r>
      <w:r w:rsidR="00591D38" w:rsidRPr="00213043">
        <w:t xml:space="preserve"> u metod v našem </w:t>
      </w:r>
      <w:r w:rsidR="00AD0CEE" w:rsidRPr="00213043">
        <w:t xml:space="preserve">praktiku </w:t>
      </w:r>
      <w:r w:rsidR="00591D38" w:rsidRPr="00213043">
        <w:t xml:space="preserve">je vhodné vypočítat </w:t>
      </w:r>
      <w:r w:rsidR="00591D38" w:rsidRPr="00213043">
        <w:rPr>
          <w:i/>
        </w:rPr>
        <w:t>S</w:t>
      </w:r>
      <w:r w:rsidR="00591D38" w:rsidRPr="00213043">
        <w:t> přímky tvořené jen nulovou a první nenulovou koncentrací (např. 0 a 0,1 mg l</w:t>
      </w:r>
      <w:r w:rsidR="00591D38" w:rsidRPr="00213043">
        <w:rPr>
          <w:vertAlign w:val="superscript"/>
        </w:rPr>
        <w:t>-1</w:t>
      </w:r>
      <w:r w:rsidR="00591D38" w:rsidRPr="00213043">
        <w:t>). Není vhodné použít směrnici celé kalibrační přímk</w:t>
      </w:r>
      <w:r w:rsidR="00FF13D8" w:rsidRPr="00213043">
        <w:t xml:space="preserve">y, která </w:t>
      </w:r>
      <w:r w:rsidR="00EF3099" w:rsidRPr="00213043">
        <w:t>zahrnuje koncentrace i o 2</w:t>
      </w:r>
      <w:r w:rsidR="00D333B7">
        <w:t>–</w:t>
      </w:r>
      <w:r w:rsidR="00EF3099" w:rsidRPr="00213043">
        <w:t xml:space="preserve">3 řády vyšší než </w:t>
      </w:r>
      <w:r w:rsidR="00EF3099" w:rsidRPr="00213043">
        <w:rPr>
          <w:i/>
        </w:rPr>
        <w:t>LOD</w:t>
      </w:r>
      <w:r w:rsidR="00EF3099" w:rsidRPr="00213043">
        <w:t xml:space="preserve">, </w:t>
      </w:r>
      <w:r w:rsidR="00FF13D8" w:rsidRPr="00213043">
        <w:t>a</w:t>
      </w:r>
      <w:r w:rsidR="00EF3099" w:rsidRPr="00213043">
        <w:t xml:space="preserve"> tedy</w:t>
      </w:r>
      <w:r w:rsidR="00FF13D8" w:rsidRPr="00213043">
        <w:t xml:space="preserve"> nevypovídá nic o citlivosti kolem </w:t>
      </w:r>
      <w:r w:rsidR="00FF13D8" w:rsidRPr="00213043">
        <w:rPr>
          <w:i/>
        </w:rPr>
        <w:t>LOD</w:t>
      </w:r>
      <w:r w:rsidR="00FF13D8" w:rsidRPr="00213043">
        <w:t>.</w:t>
      </w:r>
      <w:r w:rsidR="00005A70" w:rsidRPr="00213043">
        <w:t xml:space="preserve"> Použitím jen 1 koncentračního bodu je sice </w:t>
      </w:r>
      <w:r w:rsidR="00005A70" w:rsidRPr="00213043">
        <w:rPr>
          <w:i/>
        </w:rPr>
        <w:t>S</w:t>
      </w:r>
      <w:r w:rsidR="00005A70" w:rsidRPr="00213043">
        <w:t xml:space="preserve"> formálně nepřesnější, ale s velkou nejistotou i půl řádu se u </w:t>
      </w:r>
      <w:r w:rsidR="00005A70" w:rsidRPr="00213043">
        <w:rPr>
          <w:i/>
        </w:rPr>
        <w:t>LOD</w:t>
      </w:r>
      <w:r w:rsidR="00005A70" w:rsidRPr="00213043">
        <w:t xml:space="preserve"> počítá. Vzhledem k zachování matrice vzorku je někdy vhodné zjišťovat </w:t>
      </w:r>
      <w:r w:rsidR="00005A70" w:rsidRPr="00213043">
        <w:rPr>
          <w:i/>
        </w:rPr>
        <w:t>LOD</w:t>
      </w:r>
      <w:r w:rsidR="00005A70" w:rsidRPr="00213043">
        <w:t xml:space="preserve"> z dostatečně zředěného vzorku, u něhož </w:t>
      </w:r>
      <w:r w:rsidR="00B079B8" w:rsidRPr="00213043">
        <w:t xml:space="preserve">již známe koncentraci analytu. V chromatografii se vychází z maximálního rozkmitu </w:t>
      </w:r>
      <w:r w:rsidR="00B079B8" w:rsidRPr="00213043">
        <w:rPr>
          <w:i/>
        </w:rPr>
        <w:t xml:space="preserve">h </w:t>
      </w:r>
      <w:r w:rsidR="00B079B8" w:rsidRPr="00213043">
        <w:t>základní linie</w:t>
      </w:r>
      <w:r w:rsidR="00EB10CF" w:rsidRPr="00213043">
        <w:t xml:space="preserve"> v okolí</w:t>
      </w:r>
      <w:r w:rsidR="00B079B8" w:rsidRPr="00213043">
        <w:t xml:space="preserve"> píku</w:t>
      </w:r>
      <w:r w:rsidR="00EB10CF" w:rsidRPr="00213043">
        <w:t>, přičemž šířka tohoto okolí je d</w:t>
      </w:r>
      <w:r w:rsidR="00B079B8" w:rsidRPr="00213043">
        <w:t>esetinásob</w:t>
      </w:r>
      <w:r w:rsidR="00EB10CF" w:rsidRPr="00213043">
        <w:t>e</w:t>
      </w:r>
      <w:r w:rsidR="00B079B8" w:rsidRPr="00213043">
        <w:t>k šířky píku</w:t>
      </w:r>
      <w:r w:rsidR="00EB10CF" w:rsidRPr="00213043">
        <w:t xml:space="preserve"> </w:t>
      </w:r>
      <w:r w:rsidR="005540C0">
        <w:t>v </w:t>
      </w:r>
      <w:r w:rsidR="00EB10CF" w:rsidRPr="00213043">
        <w:t>základně</w:t>
      </w:r>
      <w:r w:rsidR="005540C0">
        <w:t xml:space="preserve"> na každou stranu od středu píku</w:t>
      </w:r>
      <w:r w:rsidR="00EB10CF" w:rsidRPr="00213043">
        <w:t>.</w:t>
      </w:r>
      <w:r w:rsidR="00B079B8" w:rsidRPr="00213043">
        <w:t xml:space="preserve"> Tento rozkmit se vynásobí příslušným koeficientem </w:t>
      </w:r>
      <w:r w:rsidR="00B079B8" w:rsidRPr="00213043">
        <w:rPr>
          <w:i/>
        </w:rPr>
        <w:t>k</w:t>
      </w:r>
      <w:r w:rsidR="00B079B8" w:rsidRPr="00213043">
        <w:t xml:space="preserve">, jehož velikost závisí na dohodě (někdy 2, 3). Koncentrace odpovídající této výšce </w:t>
      </w:r>
      <w:r w:rsidR="00B079B8" w:rsidRPr="00213043">
        <w:rPr>
          <w:i/>
        </w:rPr>
        <w:t>k</w:t>
      </w:r>
      <w:r w:rsidR="002127C3">
        <w:rPr>
          <w:i/>
        </w:rPr>
        <w:sym w:font="Symbol" w:char="F0D7"/>
      </w:r>
      <w:r w:rsidR="00B079B8" w:rsidRPr="00213043">
        <w:rPr>
          <w:i/>
        </w:rPr>
        <w:t>h</w:t>
      </w:r>
      <w:r w:rsidR="00B079B8" w:rsidRPr="00213043">
        <w:t xml:space="preserve"> je </w:t>
      </w:r>
      <w:r w:rsidR="00B079B8" w:rsidRPr="00213043">
        <w:rPr>
          <w:i/>
        </w:rPr>
        <w:t>LOD</w:t>
      </w:r>
      <w:r w:rsidR="00B079B8" w:rsidRPr="00213043">
        <w:t>.</w:t>
      </w:r>
      <w:r w:rsidR="00EB10CF" w:rsidRPr="00213043">
        <w:t xml:space="preserve"> Pracuje se s výškou píku, nikoliv plochou.</w:t>
      </w:r>
    </w:p>
    <w:p w:rsidR="003402C6" w:rsidRDefault="003402C6" w:rsidP="00D8765A">
      <w:pPr>
        <w:jc w:val="both"/>
      </w:pPr>
      <w:r w:rsidRPr="00213043">
        <w:t xml:space="preserve">Vyjde-li množství analytu ve vzorku nulové, když nenaměříme žádný </w:t>
      </w:r>
      <w:r w:rsidR="003E5945" w:rsidRPr="00213043">
        <w:t xml:space="preserve">nebo téměř žádný </w:t>
      </w:r>
      <w:r w:rsidRPr="00213043">
        <w:t xml:space="preserve">signál, měli bychom uvést hodnotu </w:t>
      </w:r>
      <w:r w:rsidRPr="00213043">
        <w:rPr>
          <w:i/>
        </w:rPr>
        <w:t>LOD</w:t>
      </w:r>
      <w:r w:rsidRPr="00213043">
        <w:t xml:space="preserve"> a napsat, že množství analytu je &lt;</w:t>
      </w:r>
      <w:r w:rsidRPr="00213043">
        <w:rPr>
          <w:i/>
        </w:rPr>
        <w:t xml:space="preserve"> LOD.</w:t>
      </w:r>
      <w:r w:rsidRPr="00213043">
        <w:t xml:space="preserve"> Vzorek by totiž mohl obsahovat naší metodou již nezjistitelné množství analytu</w:t>
      </w:r>
      <w:r w:rsidR="003E5945" w:rsidRPr="00213043">
        <w:t>, čímž bychom se dopustili chyby. Také hodnotu pod limitem kvantifikace (</w:t>
      </w:r>
      <w:r w:rsidR="003E5945" w:rsidRPr="00213043">
        <w:rPr>
          <w:i/>
        </w:rPr>
        <w:t>LOQ</w:t>
      </w:r>
      <w:r w:rsidR="003E5945" w:rsidRPr="00213043">
        <w:t xml:space="preserve">) bychom měli náležitě okomentovat, neboť je zatížena poměrně velkou chybou, jak již význam </w:t>
      </w:r>
      <w:r w:rsidR="003E5945" w:rsidRPr="00213043">
        <w:rPr>
          <w:i/>
        </w:rPr>
        <w:t>LOQ</w:t>
      </w:r>
      <w:r w:rsidR="003E5945" w:rsidRPr="00213043">
        <w:t xml:space="preserve"> napovídá.</w:t>
      </w:r>
    </w:p>
    <w:p w:rsidR="00A72698" w:rsidRDefault="00A72698" w:rsidP="00D8765A">
      <w:pPr>
        <w:jc w:val="both"/>
      </w:pPr>
      <w:r>
        <w:t>Další doplnění je na následujících stránkách.</w:t>
      </w:r>
    </w:p>
    <w:p w:rsidR="00A72698" w:rsidRDefault="00A72698" w:rsidP="00D8765A">
      <w:pPr>
        <w:jc w:val="both"/>
      </w:pPr>
    </w:p>
    <w:p w:rsidR="001034A6" w:rsidRDefault="001034A6" w:rsidP="00D8765A">
      <w:pPr>
        <w:jc w:val="both"/>
      </w:pPr>
    </w:p>
    <w:p w:rsidR="001034A6" w:rsidRDefault="001034A6" w:rsidP="00D8765A">
      <w:pPr>
        <w:jc w:val="both"/>
      </w:pPr>
    </w:p>
    <w:p w:rsidR="00FF6E90" w:rsidRDefault="00FF6E90" w:rsidP="00D8765A">
      <w:pPr>
        <w:jc w:val="both"/>
      </w:pPr>
    </w:p>
    <w:p w:rsidR="001034A6" w:rsidRDefault="001034A6" w:rsidP="00D8765A">
      <w:pPr>
        <w:jc w:val="both"/>
      </w:pPr>
    </w:p>
    <w:p w:rsidR="001034A6" w:rsidRDefault="001034A6" w:rsidP="001034A6">
      <w:pPr>
        <w:pStyle w:val="Nadpis1"/>
        <w:rPr>
          <w:rFonts w:ascii="Times New Roman" w:hAnsi="Times New Roman"/>
          <w:caps/>
          <w:sz w:val="32"/>
          <w:szCs w:val="32"/>
        </w:rPr>
      </w:pPr>
      <w:r>
        <w:rPr>
          <w:rFonts w:ascii="Times New Roman" w:hAnsi="Times New Roman"/>
          <w:caps/>
          <w:sz w:val="32"/>
          <w:szCs w:val="32"/>
        </w:rPr>
        <w:lastRenderedPageBreak/>
        <w:t>DoplnĚNÍ teori</w:t>
      </w:r>
      <w:r w:rsidR="00FF6E90">
        <w:rPr>
          <w:rFonts w:ascii="Times New Roman" w:hAnsi="Times New Roman"/>
          <w:caps/>
          <w:sz w:val="32"/>
          <w:szCs w:val="32"/>
        </w:rPr>
        <w:t>E</w:t>
      </w:r>
    </w:p>
    <w:p w:rsidR="001034A6" w:rsidRDefault="001034A6" w:rsidP="001034A6">
      <w:pPr>
        <w:spacing w:before="120"/>
        <w:jc w:val="center"/>
        <w:rPr>
          <w:b/>
          <w:u w:val="single"/>
        </w:rPr>
      </w:pPr>
    </w:p>
    <w:p w:rsidR="001034A6" w:rsidRPr="001034A6" w:rsidRDefault="001034A6" w:rsidP="001034A6">
      <w:pPr>
        <w:pStyle w:val="Bezmezer"/>
        <w:tabs>
          <w:tab w:val="left" w:pos="900"/>
        </w:tabs>
        <w:spacing w:after="200"/>
        <w:ind w:left="360"/>
        <w:jc w:val="center"/>
        <w:rPr>
          <w:rFonts w:asciiTheme="minorHAnsi" w:hAnsiTheme="minorHAnsi" w:cstheme="minorHAnsi"/>
          <w:b/>
          <w:bCs/>
          <w:iCs/>
        </w:rPr>
      </w:pPr>
      <w:r w:rsidRPr="001034A6">
        <w:rPr>
          <w:rFonts w:asciiTheme="minorHAnsi" w:hAnsiTheme="minorHAnsi" w:cstheme="minorHAnsi"/>
          <w:b/>
          <w:bCs/>
          <w:iCs/>
        </w:rPr>
        <w:t>Chromatografické metody – HPLC a GC</w:t>
      </w:r>
    </w:p>
    <w:p w:rsidR="001034A6" w:rsidRPr="001034A6" w:rsidRDefault="001034A6" w:rsidP="001034A6">
      <w:pPr>
        <w:spacing w:line="240" w:lineRule="auto"/>
        <w:ind w:left="360"/>
        <w:rPr>
          <w:rFonts w:cstheme="minorHAnsi"/>
        </w:rPr>
      </w:pPr>
      <w:r w:rsidRPr="001034A6">
        <w:rPr>
          <w:rFonts w:cstheme="minorHAnsi"/>
        </w:rPr>
        <w:t>Úlohy: č.</w:t>
      </w:r>
      <w:r w:rsidR="00324536">
        <w:rPr>
          <w:rFonts w:cstheme="minorHAnsi"/>
        </w:rPr>
        <w:t xml:space="preserve"> </w:t>
      </w:r>
      <w:r w:rsidRPr="001034A6">
        <w:rPr>
          <w:rFonts w:cstheme="minorHAnsi"/>
        </w:rPr>
        <w:t xml:space="preserve">1 – Analýza směsi </w:t>
      </w:r>
      <w:proofErr w:type="spellStart"/>
      <w:r w:rsidRPr="001034A6">
        <w:rPr>
          <w:rFonts w:cstheme="minorHAnsi"/>
        </w:rPr>
        <w:t>methylxantinů</w:t>
      </w:r>
      <w:proofErr w:type="spellEnd"/>
      <w:r w:rsidRPr="001034A6">
        <w:rPr>
          <w:rFonts w:cstheme="minorHAnsi"/>
        </w:rPr>
        <w:t xml:space="preserve"> pomocí kapalinové chromatografie</w:t>
      </w:r>
    </w:p>
    <w:p w:rsidR="001034A6" w:rsidRPr="001034A6" w:rsidRDefault="001034A6" w:rsidP="001034A6">
      <w:pPr>
        <w:tabs>
          <w:tab w:val="left" w:pos="900"/>
        </w:tabs>
        <w:spacing w:line="240" w:lineRule="auto"/>
        <w:ind w:left="360"/>
        <w:rPr>
          <w:rFonts w:cstheme="minorHAnsi"/>
        </w:rPr>
      </w:pPr>
      <w:r w:rsidRPr="001034A6">
        <w:rPr>
          <w:rFonts w:cstheme="minorHAnsi"/>
        </w:rPr>
        <w:tab/>
        <w:t xml:space="preserve"> č.</w:t>
      </w:r>
      <w:r w:rsidR="00324536">
        <w:rPr>
          <w:rFonts w:cstheme="minorHAnsi"/>
        </w:rPr>
        <w:t xml:space="preserve"> </w:t>
      </w:r>
      <w:r w:rsidRPr="001034A6">
        <w:rPr>
          <w:rFonts w:cstheme="minorHAnsi"/>
        </w:rPr>
        <w:t>4 – Stanovení acetonu pomocí plynové chromatografie</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rPr>
          <w:rFonts w:cstheme="minorHAnsi"/>
        </w:rPr>
      </w:pPr>
      <w:r w:rsidRPr="001034A6">
        <w:rPr>
          <w:rFonts w:cstheme="minorHAnsi"/>
        </w:rPr>
        <w:t xml:space="preserve">Volba samotného výpočtu chromatografických parametrů - počtu efektivních teoretických pater </w:t>
      </w:r>
      <w:proofErr w:type="spellStart"/>
      <w:r w:rsidRPr="001034A6">
        <w:rPr>
          <w:rFonts w:cstheme="minorHAnsi"/>
          <w:i/>
        </w:rPr>
        <w:t>N</w:t>
      </w:r>
      <w:r w:rsidRPr="001034A6">
        <w:rPr>
          <w:rFonts w:cstheme="minorHAnsi"/>
          <w:vertAlign w:val="subscript"/>
        </w:rPr>
        <w:t>ef</w:t>
      </w:r>
      <w:proofErr w:type="spellEnd"/>
      <w:r w:rsidRPr="001034A6">
        <w:rPr>
          <w:rFonts w:cstheme="minorHAnsi"/>
        </w:rPr>
        <w:t xml:space="preserve"> a rozlišení </w:t>
      </w:r>
      <w:r w:rsidRPr="001034A6">
        <w:rPr>
          <w:rFonts w:cstheme="minorHAnsi"/>
          <w:i/>
        </w:rPr>
        <w:t>R</w:t>
      </w:r>
      <w:r w:rsidRPr="001034A6">
        <w:rPr>
          <w:rFonts w:cstheme="minorHAnsi"/>
        </w:rPr>
        <w:t xml:space="preserve"> - závisí na získaném chromatografickém záznamu. </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rPr>
          <w:rFonts w:cstheme="minorHAnsi"/>
        </w:rPr>
      </w:pPr>
      <w:r w:rsidRPr="001034A6">
        <w:rPr>
          <w:rFonts w:cstheme="minorHAnsi"/>
          <w:i/>
        </w:rPr>
        <w:t>Je-li eluční křivka chromatogramu souběžná se základnou</w:t>
      </w:r>
      <w:r w:rsidRPr="001034A6">
        <w:rPr>
          <w:rFonts w:cstheme="minorHAnsi"/>
        </w:rPr>
        <w:t xml:space="preserve"> (tedy rovná a bez vzrůstající tendence) využívá se pro výpočet šířka píku při základně, podle níže uvedených vzorců.</w:t>
      </w:r>
    </w:p>
    <w:p w:rsidR="001034A6" w:rsidRPr="001034A6" w:rsidRDefault="001034A6" w:rsidP="001034A6">
      <w:pPr>
        <w:tabs>
          <w:tab w:val="left" w:pos="900"/>
        </w:tabs>
        <w:spacing w:line="240" w:lineRule="auto"/>
        <w:ind w:left="360"/>
        <w:rPr>
          <w:rFonts w:cstheme="minorHAnsi"/>
        </w:rPr>
      </w:pPr>
      <w:r w:rsidRPr="001034A6">
        <w:rPr>
          <w:rFonts w:cstheme="minorHAnsi"/>
        </w:rPr>
        <w:t xml:space="preserve">Hodnota rozlišení </w:t>
      </w:r>
      <w:r w:rsidRPr="001034A6">
        <w:rPr>
          <w:rFonts w:cstheme="minorHAnsi"/>
          <w:i/>
        </w:rPr>
        <w:t>R</w:t>
      </w:r>
      <w:r w:rsidRPr="001034A6">
        <w:rPr>
          <w:rFonts w:cstheme="minorHAnsi"/>
        </w:rPr>
        <w:t>, představující míru separace dvou chromatografických píku je vypočtena:</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jc w:val="center"/>
        <w:rPr>
          <w:rFonts w:cstheme="minorHAnsi"/>
        </w:rPr>
      </w:pPr>
      <w:r w:rsidRPr="001034A6">
        <w:rPr>
          <w:rFonts w:cstheme="minorHAnsi"/>
          <w:position w:val="-30"/>
        </w:rPr>
        <w:object w:dxaOrig="2040" w:dyaOrig="740">
          <v:shape id="_x0000_i1033" type="#_x0000_t75" style="width:102pt;height:36.75pt" o:ole="">
            <v:imagedata r:id="rId22" o:title=""/>
          </v:shape>
          <o:OLEObject Type="Embed" ProgID="Equation.3" ShapeID="_x0000_i1033" DrawAspect="Content" ObjectID="_1770524778" r:id="rId23"/>
        </w:object>
      </w:r>
    </w:p>
    <w:p w:rsidR="001034A6" w:rsidRPr="001034A6" w:rsidRDefault="001034A6" w:rsidP="001034A6">
      <w:pPr>
        <w:tabs>
          <w:tab w:val="left" w:pos="900"/>
        </w:tabs>
        <w:spacing w:line="240" w:lineRule="auto"/>
        <w:ind w:left="360"/>
        <w:jc w:val="center"/>
        <w:rPr>
          <w:rFonts w:cstheme="minorHAnsi"/>
        </w:rPr>
      </w:pPr>
    </w:p>
    <w:p w:rsidR="001034A6" w:rsidRPr="001034A6" w:rsidRDefault="001034A6" w:rsidP="001034A6">
      <w:pPr>
        <w:tabs>
          <w:tab w:val="left" w:pos="900"/>
        </w:tabs>
        <w:spacing w:line="240" w:lineRule="auto"/>
        <w:ind w:left="360"/>
        <w:rPr>
          <w:rFonts w:cstheme="minorHAnsi"/>
        </w:rPr>
      </w:pPr>
      <w:r w:rsidRPr="001034A6">
        <w:rPr>
          <w:rFonts w:cstheme="minorHAnsi"/>
          <w:i/>
        </w:rPr>
        <w:t>kde:</w:t>
      </w:r>
      <w:r w:rsidRPr="001034A6">
        <w:rPr>
          <w:rFonts w:cstheme="minorHAnsi"/>
        </w:rPr>
        <w:t xml:space="preserve"> </w:t>
      </w:r>
      <w:proofErr w:type="spellStart"/>
      <w:r w:rsidRPr="001034A6">
        <w:rPr>
          <w:rFonts w:cstheme="minorHAnsi"/>
          <w:i/>
        </w:rPr>
        <w:t>t</w:t>
      </w:r>
      <w:r w:rsidRPr="001034A6">
        <w:rPr>
          <w:rFonts w:cstheme="minorHAnsi"/>
          <w:vertAlign w:val="subscript"/>
        </w:rPr>
        <w:t>R</w:t>
      </w:r>
      <w:proofErr w:type="spellEnd"/>
      <w:r w:rsidRPr="001034A6">
        <w:rPr>
          <w:rFonts w:cstheme="minorHAnsi"/>
        </w:rPr>
        <w:t xml:space="preserve"> je retenční čas příslušného analytu</w:t>
      </w:r>
    </w:p>
    <w:p w:rsidR="001034A6" w:rsidRPr="001034A6" w:rsidRDefault="001034A6" w:rsidP="001034A6">
      <w:pPr>
        <w:tabs>
          <w:tab w:val="left" w:pos="720"/>
        </w:tabs>
        <w:spacing w:line="240" w:lineRule="auto"/>
        <w:ind w:left="360"/>
        <w:rPr>
          <w:rFonts w:cstheme="minorHAnsi"/>
        </w:rPr>
      </w:pPr>
      <w:r w:rsidRPr="001034A6">
        <w:rPr>
          <w:rFonts w:cstheme="minorHAnsi"/>
          <w:i/>
        </w:rPr>
        <w:tab/>
        <w:t>w</w:t>
      </w:r>
      <w:r w:rsidRPr="001034A6">
        <w:rPr>
          <w:rFonts w:cstheme="minorHAnsi"/>
        </w:rPr>
        <w:t xml:space="preserve"> je délka základny příslušného píku</w:t>
      </w:r>
    </w:p>
    <w:p w:rsidR="001034A6" w:rsidRPr="001034A6" w:rsidRDefault="001034A6" w:rsidP="001034A6">
      <w:pPr>
        <w:tabs>
          <w:tab w:val="left" w:pos="720"/>
        </w:tabs>
        <w:spacing w:line="240" w:lineRule="auto"/>
        <w:ind w:left="360"/>
        <w:rPr>
          <w:rFonts w:cstheme="minorHAnsi"/>
          <w:i/>
        </w:rPr>
      </w:pPr>
      <w:r w:rsidRPr="001034A6">
        <w:rPr>
          <w:rFonts w:cstheme="minorHAnsi"/>
          <w:i/>
        </w:rPr>
        <w:tab/>
      </w:r>
    </w:p>
    <w:p w:rsidR="001034A6" w:rsidRPr="001034A6" w:rsidRDefault="001034A6" w:rsidP="001034A6">
      <w:pPr>
        <w:tabs>
          <w:tab w:val="left" w:pos="720"/>
        </w:tabs>
        <w:spacing w:line="240" w:lineRule="auto"/>
        <w:ind w:left="360"/>
        <w:rPr>
          <w:rFonts w:cstheme="minorHAnsi"/>
        </w:rPr>
      </w:pPr>
      <w:r w:rsidRPr="001034A6">
        <w:rPr>
          <w:rFonts w:cstheme="minorHAnsi"/>
        </w:rPr>
        <w:t xml:space="preserve">Pro počet efektivních (vztaženo k inertnímu </w:t>
      </w:r>
      <w:proofErr w:type="spellStart"/>
      <w:r w:rsidRPr="001034A6">
        <w:rPr>
          <w:rFonts w:cstheme="minorHAnsi"/>
        </w:rPr>
        <w:t>analytu</w:t>
      </w:r>
      <w:proofErr w:type="spellEnd"/>
      <w:r w:rsidRPr="001034A6">
        <w:rPr>
          <w:rFonts w:cstheme="minorHAnsi"/>
        </w:rPr>
        <w:t xml:space="preserve">) teoretických pater </w:t>
      </w:r>
      <w:proofErr w:type="spellStart"/>
      <w:r w:rsidRPr="001034A6">
        <w:rPr>
          <w:rFonts w:cstheme="minorHAnsi"/>
          <w:i/>
        </w:rPr>
        <w:t>N</w:t>
      </w:r>
      <w:r w:rsidRPr="001034A6">
        <w:rPr>
          <w:rFonts w:cstheme="minorHAnsi"/>
          <w:vertAlign w:val="subscript"/>
        </w:rPr>
        <w:t>ef</w:t>
      </w:r>
      <w:proofErr w:type="spellEnd"/>
      <w:r w:rsidRPr="001034A6">
        <w:rPr>
          <w:rFonts w:cstheme="minorHAnsi"/>
        </w:rPr>
        <w:t xml:space="preserve"> , které udává míru účinnosti separační kolony, použijeme následující vzorec:</w:t>
      </w:r>
    </w:p>
    <w:p w:rsidR="001034A6" w:rsidRPr="001034A6" w:rsidRDefault="001034A6" w:rsidP="001034A6">
      <w:pPr>
        <w:tabs>
          <w:tab w:val="left" w:pos="720"/>
        </w:tabs>
        <w:spacing w:line="240" w:lineRule="auto"/>
        <w:ind w:left="360"/>
        <w:rPr>
          <w:rFonts w:cstheme="minorHAnsi"/>
        </w:rPr>
      </w:pPr>
    </w:p>
    <w:p w:rsidR="001034A6" w:rsidRPr="001034A6" w:rsidRDefault="001034A6" w:rsidP="001034A6">
      <w:pPr>
        <w:tabs>
          <w:tab w:val="left" w:pos="900"/>
        </w:tabs>
        <w:spacing w:line="240" w:lineRule="auto"/>
        <w:ind w:left="360"/>
        <w:jc w:val="center"/>
        <w:rPr>
          <w:rFonts w:cstheme="minorHAnsi"/>
        </w:rPr>
      </w:pPr>
      <w:r w:rsidRPr="001034A6">
        <w:rPr>
          <w:rFonts w:cstheme="minorHAnsi"/>
          <w:position w:val="-28"/>
        </w:rPr>
        <w:object w:dxaOrig="2060" w:dyaOrig="740">
          <v:shape id="_x0000_i1034" type="#_x0000_t75" style="width:102.75pt;height:36.75pt" o:ole="">
            <v:imagedata r:id="rId24" o:title=""/>
          </v:shape>
          <o:OLEObject Type="Embed" ProgID="Equation.3" ShapeID="_x0000_i1034" DrawAspect="Content" ObjectID="_1770524779" r:id="rId25"/>
        </w:objec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rPr>
          <w:rFonts w:cstheme="minorHAnsi"/>
        </w:rPr>
      </w:pPr>
      <w:r w:rsidRPr="001034A6">
        <w:rPr>
          <w:rFonts w:cstheme="minorHAnsi"/>
          <w:i/>
        </w:rPr>
        <w:t>kde:</w:t>
      </w:r>
      <w:r w:rsidRPr="001034A6">
        <w:rPr>
          <w:rFonts w:cstheme="minorHAnsi"/>
        </w:rPr>
        <w:t xml:space="preserve"> </w:t>
      </w:r>
      <w:proofErr w:type="spellStart"/>
      <w:r w:rsidRPr="001034A6">
        <w:rPr>
          <w:rFonts w:cstheme="minorHAnsi"/>
          <w:i/>
        </w:rPr>
        <w:t>t</w:t>
      </w:r>
      <w:r w:rsidRPr="001034A6">
        <w:rPr>
          <w:rFonts w:cstheme="minorHAnsi"/>
          <w:vertAlign w:val="subscript"/>
        </w:rPr>
        <w:t>R</w:t>
      </w:r>
      <w:proofErr w:type="spellEnd"/>
      <w:r w:rsidRPr="001034A6">
        <w:rPr>
          <w:rFonts w:cstheme="minorHAnsi"/>
        </w:rPr>
        <w:t xml:space="preserve"> je retenční čas příslušného analytu</w:t>
      </w:r>
    </w:p>
    <w:p w:rsidR="001034A6" w:rsidRPr="001034A6" w:rsidRDefault="001034A6" w:rsidP="001034A6">
      <w:pPr>
        <w:tabs>
          <w:tab w:val="left" w:pos="720"/>
        </w:tabs>
        <w:spacing w:line="240" w:lineRule="auto"/>
        <w:ind w:left="360"/>
        <w:rPr>
          <w:rFonts w:cstheme="minorHAnsi"/>
        </w:rPr>
      </w:pPr>
      <w:r w:rsidRPr="001034A6">
        <w:rPr>
          <w:rFonts w:cstheme="minorHAnsi"/>
          <w:i/>
        </w:rPr>
        <w:tab/>
      </w:r>
      <w:proofErr w:type="spellStart"/>
      <w:r w:rsidRPr="001034A6">
        <w:rPr>
          <w:rFonts w:cstheme="minorHAnsi"/>
          <w:i/>
        </w:rPr>
        <w:t>t</w:t>
      </w:r>
      <w:r w:rsidRPr="001034A6">
        <w:rPr>
          <w:rFonts w:cstheme="minorHAnsi"/>
          <w:vertAlign w:val="subscript"/>
        </w:rPr>
        <w:t>M</w:t>
      </w:r>
      <w:proofErr w:type="spellEnd"/>
      <w:r w:rsidRPr="001034A6">
        <w:rPr>
          <w:rFonts w:cstheme="minorHAnsi"/>
        </w:rPr>
        <w:t xml:space="preserve"> je mrtvý čas</w:t>
      </w:r>
    </w:p>
    <w:p w:rsidR="001034A6" w:rsidRPr="001034A6" w:rsidRDefault="001034A6" w:rsidP="001034A6">
      <w:pPr>
        <w:tabs>
          <w:tab w:val="left" w:pos="720"/>
        </w:tabs>
        <w:spacing w:line="240" w:lineRule="auto"/>
        <w:ind w:left="360"/>
        <w:rPr>
          <w:rFonts w:cstheme="minorHAnsi"/>
        </w:rPr>
      </w:pPr>
      <w:r w:rsidRPr="001034A6">
        <w:rPr>
          <w:rFonts w:cstheme="minorHAnsi"/>
          <w:i/>
        </w:rPr>
        <w:tab/>
        <w:t>w</w:t>
      </w:r>
      <w:r w:rsidRPr="001034A6">
        <w:rPr>
          <w:rFonts w:cstheme="minorHAnsi"/>
        </w:rPr>
        <w:t xml:space="preserve"> je délka základny příslušného píku</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rPr>
          <w:rFonts w:cstheme="minorHAnsi"/>
        </w:rPr>
      </w:pPr>
      <w:r w:rsidRPr="001034A6">
        <w:rPr>
          <w:rFonts w:cstheme="minorHAnsi"/>
          <w:i/>
        </w:rPr>
        <w:lastRenderedPageBreak/>
        <w:t>Má-li však eluční křivka tendenci růstu a není její profil souběžný s časovou osou</w:t>
      </w:r>
      <w:r w:rsidRPr="001034A6">
        <w:rPr>
          <w:rFonts w:cstheme="minorHAnsi"/>
        </w:rPr>
        <w:t xml:space="preserve"> (základnou), bylo by v tomto případě využití šířky píku při základně nesprávné, provádíme výpočty závisle proměnných parametrů ze šířky píku v polovině jeho výšky. Tato metoda stejně jako u inflexní metody (ve výšce 60,7 % </w:t>
      </w:r>
      <w:proofErr w:type="gramStart"/>
      <w:r w:rsidRPr="001034A6">
        <w:rPr>
          <w:rFonts w:cstheme="minorHAnsi"/>
        </w:rPr>
        <w:t>pro</w:t>
      </w:r>
      <w:proofErr w:type="gramEnd"/>
      <w:r w:rsidRPr="001034A6">
        <w:rPr>
          <w:rFonts w:cstheme="minorHAnsi"/>
        </w:rPr>
        <w:t xml:space="preserve"> normální Gaussův </w:t>
      </w:r>
      <w:proofErr w:type="gramStart"/>
      <w:r w:rsidRPr="001034A6">
        <w:rPr>
          <w:rFonts w:cstheme="minorHAnsi"/>
        </w:rPr>
        <w:t>pík)  není</w:t>
      </w:r>
      <w:proofErr w:type="gramEnd"/>
      <w:r w:rsidRPr="001034A6">
        <w:rPr>
          <w:rFonts w:cstheme="minorHAnsi"/>
        </w:rPr>
        <w:t xml:space="preserve"> ovlivněna asymetrií píku.</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rPr>
          <w:rFonts w:cstheme="minorHAnsi"/>
        </w:rPr>
      </w:pPr>
      <w:r w:rsidRPr="001034A6">
        <w:rPr>
          <w:rFonts w:cstheme="minorHAnsi"/>
        </w:rPr>
        <w:t xml:space="preserve">Následují příslušné vzorce pro výpočet rozlišení </w:t>
      </w:r>
      <w:r w:rsidRPr="001034A6">
        <w:rPr>
          <w:rFonts w:cstheme="minorHAnsi"/>
          <w:i/>
        </w:rPr>
        <w:t>R</w:t>
      </w:r>
      <w:r w:rsidRPr="001034A6">
        <w:rPr>
          <w:rFonts w:cstheme="minorHAnsi"/>
        </w:rPr>
        <w:t xml:space="preserve"> a počet efektivních teoretických pater </w:t>
      </w:r>
      <w:proofErr w:type="spellStart"/>
      <w:r w:rsidRPr="001034A6">
        <w:rPr>
          <w:rFonts w:cstheme="minorHAnsi"/>
          <w:i/>
        </w:rPr>
        <w:t>N</w:t>
      </w:r>
      <w:r w:rsidRPr="001034A6">
        <w:rPr>
          <w:rFonts w:cstheme="minorHAnsi"/>
          <w:vertAlign w:val="subscript"/>
        </w:rPr>
        <w:t>ef</w:t>
      </w:r>
      <w:proofErr w:type="spellEnd"/>
      <w:r w:rsidRPr="001034A6">
        <w:rPr>
          <w:rFonts w:cstheme="minorHAnsi"/>
          <w:vertAlign w:val="superscript"/>
        </w:rPr>
        <w:t>:</w:t>
      </w:r>
      <w:r w:rsidRPr="001034A6">
        <w:rPr>
          <w:rFonts w:cstheme="minorHAnsi"/>
        </w:rPr>
        <w:t xml:space="preserve"> </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jc w:val="center"/>
        <w:rPr>
          <w:rFonts w:cstheme="minorHAnsi"/>
        </w:rPr>
      </w:pPr>
      <w:r w:rsidRPr="001034A6">
        <w:rPr>
          <w:rFonts w:cstheme="minorHAnsi"/>
          <w:position w:val="-32"/>
        </w:rPr>
        <w:object w:dxaOrig="2400" w:dyaOrig="760">
          <v:shape id="_x0000_i1035" type="#_x0000_t75" style="width:120pt;height:38.25pt" o:ole="">
            <v:imagedata r:id="rId26" o:title=""/>
          </v:shape>
          <o:OLEObject Type="Embed" ProgID="Equation.3" ShapeID="_x0000_i1035" DrawAspect="Content" ObjectID="_1770524780" r:id="rId27"/>
        </w:object>
      </w:r>
    </w:p>
    <w:p w:rsidR="001034A6" w:rsidRPr="001034A6" w:rsidRDefault="001034A6" w:rsidP="001034A6">
      <w:pPr>
        <w:tabs>
          <w:tab w:val="left" w:pos="900"/>
        </w:tabs>
        <w:spacing w:line="240" w:lineRule="auto"/>
        <w:ind w:left="360"/>
        <w:jc w:val="center"/>
        <w:rPr>
          <w:rFonts w:cstheme="minorHAnsi"/>
        </w:rPr>
      </w:pPr>
    </w:p>
    <w:p w:rsidR="001034A6" w:rsidRPr="001034A6" w:rsidRDefault="001034A6" w:rsidP="001034A6">
      <w:pPr>
        <w:tabs>
          <w:tab w:val="left" w:pos="900"/>
        </w:tabs>
        <w:spacing w:line="240" w:lineRule="auto"/>
        <w:ind w:left="360"/>
        <w:jc w:val="center"/>
        <w:rPr>
          <w:rFonts w:cstheme="minorHAnsi"/>
        </w:rPr>
      </w:pPr>
      <w:r w:rsidRPr="001034A6">
        <w:rPr>
          <w:rFonts w:cstheme="minorHAnsi"/>
          <w:position w:val="-34"/>
        </w:rPr>
        <w:object w:dxaOrig="2360" w:dyaOrig="840">
          <v:shape id="_x0000_i1036" type="#_x0000_t75" style="width:117.75pt;height:42pt" o:ole="">
            <v:imagedata r:id="rId28" o:title=""/>
          </v:shape>
          <o:OLEObject Type="Embed" ProgID="Equation.3" ShapeID="_x0000_i1036" DrawAspect="Content" ObjectID="_1770524781" r:id="rId29"/>
        </w:object>
      </w:r>
    </w:p>
    <w:p w:rsidR="001034A6" w:rsidRPr="001034A6" w:rsidRDefault="001034A6" w:rsidP="001034A6">
      <w:pPr>
        <w:tabs>
          <w:tab w:val="left" w:pos="900"/>
        </w:tabs>
        <w:spacing w:line="240" w:lineRule="auto"/>
        <w:ind w:left="360"/>
        <w:jc w:val="center"/>
        <w:rPr>
          <w:rFonts w:cstheme="minorHAnsi"/>
        </w:rPr>
      </w:pPr>
    </w:p>
    <w:p w:rsidR="001034A6" w:rsidRPr="001034A6" w:rsidRDefault="001034A6" w:rsidP="00D8765A">
      <w:pPr>
        <w:jc w:val="both"/>
        <w:rPr>
          <w:rFonts w:cstheme="minorHAnsi"/>
        </w:rPr>
      </w:pPr>
    </w:p>
    <w:p w:rsidR="001034A6" w:rsidRPr="001034A6" w:rsidRDefault="001034A6" w:rsidP="001034A6">
      <w:pPr>
        <w:pStyle w:val="Bezmezer"/>
        <w:tabs>
          <w:tab w:val="left" w:pos="900"/>
        </w:tabs>
        <w:spacing w:after="200"/>
        <w:ind w:left="360"/>
        <w:jc w:val="center"/>
        <w:rPr>
          <w:rFonts w:asciiTheme="minorHAnsi" w:hAnsiTheme="minorHAnsi" w:cstheme="minorHAnsi"/>
          <w:b/>
          <w:bCs/>
          <w:iCs/>
        </w:rPr>
      </w:pPr>
      <w:r w:rsidRPr="001034A6">
        <w:rPr>
          <w:rFonts w:asciiTheme="minorHAnsi" w:hAnsiTheme="minorHAnsi" w:cstheme="minorHAnsi"/>
          <w:b/>
          <w:bCs/>
          <w:iCs/>
        </w:rPr>
        <w:t>Vyhodnocení dat - TLC</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spacing w:line="240" w:lineRule="auto"/>
        <w:ind w:left="1548" w:hanging="1191"/>
        <w:rPr>
          <w:rFonts w:cstheme="minorHAnsi"/>
        </w:rPr>
      </w:pPr>
      <w:r w:rsidRPr="001034A6">
        <w:rPr>
          <w:rFonts w:cstheme="minorHAnsi"/>
        </w:rPr>
        <w:t xml:space="preserve">Úlohy: č.2 – Stanovení kyseliny </w:t>
      </w:r>
      <w:proofErr w:type="spellStart"/>
      <w:r w:rsidRPr="001034A6">
        <w:rPr>
          <w:rFonts w:cstheme="minorHAnsi"/>
        </w:rPr>
        <w:t>glutamové</w:t>
      </w:r>
      <w:proofErr w:type="spellEnd"/>
      <w:r w:rsidRPr="001034A6">
        <w:rPr>
          <w:rFonts w:cstheme="minorHAnsi"/>
        </w:rPr>
        <w:t xml:space="preserve"> pomocí metod kapilární </w:t>
      </w:r>
      <w:proofErr w:type="spellStart"/>
      <w:r w:rsidRPr="001034A6">
        <w:rPr>
          <w:rFonts w:cstheme="minorHAnsi"/>
        </w:rPr>
        <w:t>izotachoforézy</w:t>
      </w:r>
      <w:proofErr w:type="spellEnd"/>
      <w:r w:rsidRPr="001034A6">
        <w:rPr>
          <w:rFonts w:cstheme="minorHAnsi"/>
        </w:rPr>
        <w:t xml:space="preserve"> a tenkovrstvé chromatografie</w:t>
      </w:r>
    </w:p>
    <w:p w:rsidR="001034A6" w:rsidRPr="001034A6" w:rsidRDefault="001034A6" w:rsidP="001034A6">
      <w:pPr>
        <w:spacing w:line="240" w:lineRule="auto"/>
        <w:ind w:left="1080" w:hanging="720"/>
        <w:rPr>
          <w:rFonts w:cstheme="minorHAnsi"/>
        </w:rPr>
      </w:pPr>
      <w:r w:rsidRPr="001034A6">
        <w:rPr>
          <w:rFonts w:cstheme="minorHAnsi"/>
        </w:rPr>
        <w:tab/>
        <w:t>č.3 – Analýza syntetických a rostlinných barviv pomocí tenkovrstvé chromatografie</w:t>
      </w:r>
    </w:p>
    <w:p w:rsidR="001034A6" w:rsidRPr="001034A6" w:rsidRDefault="001034A6" w:rsidP="001034A6">
      <w:pPr>
        <w:spacing w:line="240" w:lineRule="auto"/>
        <w:ind w:left="1080" w:hanging="720"/>
        <w:rPr>
          <w:rFonts w:cstheme="minorHAnsi"/>
        </w:rPr>
      </w:pPr>
    </w:p>
    <w:p w:rsidR="001034A6" w:rsidRPr="001034A6" w:rsidRDefault="001034A6" w:rsidP="001034A6">
      <w:pPr>
        <w:spacing w:line="240" w:lineRule="auto"/>
        <w:ind w:left="360"/>
        <w:rPr>
          <w:rFonts w:cstheme="minorHAnsi"/>
        </w:rPr>
      </w:pPr>
      <w:r w:rsidRPr="001034A6">
        <w:rPr>
          <w:rFonts w:cstheme="minorHAnsi"/>
        </w:rPr>
        <w:t xml:space="preserve">Separace ve zvoleném chromatografickém systému probíhá na základě afinity </w:t>
      </w:r>
      <w:proofErr w:type="spellStart"/>
      <w:r w:rsidRPr="001034A6">
        <w:rPr>
          <w:rFonts w:cstheme="minorHAnsi"/>
        </w:rPr>
        <w:t>analytu</w:t>
      </w:r>
      <w:proofErr w:type="spellEnd"/>
      <w:r w:rsidRPr="001034A6">
        <w:rPr>
          <w:rFonts w:cstheme="minorHAnsi"/>
        </w:rPr>
        <w:t xml:space="preserve"> (</w:t>
      </w:r>
      <w:proofErr w:type="spellStart"/>
      <w:r w:rsidRPr="001034A6">
        <w:rPr>
          <w:rFonts w:cstheme="minorHAnsi"/>
        </w:rPr>
        <w:t>hydrofobicita</w:t>
      </w:r>
      <w:proofErr w:type="spellEnd"/>
      <w:r w:rsidRPr="001034A6">
        <w:rPr>
          <w:rFonts w:cstheme="minorHAnsi"/>
        </w:rPr>
        <w:t xml:space="preserve">, funkční skupiny, atd.) k ukotvené stacionární fázi na vhodném nosiči. Eluční profil získaných zón, představující za vhodně zvolených podmínek stanovovaný separovaný analyt, může nabývat různých forem/tvarů. Ne vždy získáme symetrický kruhovitý profil zóny po eluci analytu v systému. Profil zóny se nejčastěji vyskytuje jako ovál, příp. </w:t>
      </w:r>
      <w:proofErr w:type="spellStart"/>
      <w:r w:rsidRPr="001034A6">
        <w:rPr>
          <w:rFonts w:cstheme="minorHAnsi"/>
        </w:rPr>
        <w:t>chvostuje</w:t>
      </w:r>
      <w:proofErr w:type="spellEnd"/>
      <w:r w:rsidRPr="001034A6">
        <w:rPr>
          <w:rFonts w:cstheme="minorHAnsi"/>
        </w:rPr>
        <w:t>, nebo se rozpíjí do stran (obrázek 2).</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tabs>
          <w:tab w:val="left" w:pos="900"/>
        </w:tabs>
        <w:spacing w:line="240" w:lineRule="auto"/>
        <w:ind w:left="360"/>
        <w:jc w:val="center"/>
        <w:rPr>
          <w:rFonts w:cstheme="minorHAnsi"/>
        </w:rPr>
      </w:pPr>
      <w:r w:rsidRPr="001034A6">
        <w:rPr>
          <w:rFonts w:cstheme="minorHAnsi"/>
          <w:noProof/>
          <w:lang w:eastAsia="cs-CZ"/>
        </w:rPr>
        <w:lastRenderedPageBreak/>
        <w:drawing>
          <wp:inline distT="0" distB="0" distL="0" distR="0">
            <wp:extent cx="1228725" cy="3057525"/>
            <wp:effectExtent l="19050" t="0" r="9525" b="0"/>
            <wp:docPr id="14" name="obrázek 14" descr="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rázek2"/>
                    <pic:cNvPicPr>
                      <a:picLocks noChangeAspect="1" noChangeArrowheads="1"/>
                    </pic:cNvPicPr>
                  </pic:nvPicPr>
                  <pic:blipFill>
                    <a:blip r:embed="rId30" cstate="print"/>
                    <a:srcRect/>
                    <a:stretch>
                      <a:fillRect/>
                    </a:stretch>
                  </pic:blipFill>
                  <pic:spPr bwMode="auto">
                    <a:xfrm>
                      <a:off x="0" y="0"/>
                      <a:ext cx="1228725" cy="3057525"/>
                    </a:xfrm>
                    <a:prstGeom prst="rect">
                      <a:avLst/>
                    </a:prstGeom>
                    <a:noFill/>
                    <a:ln w="9525">
                      <a:noFill/>
                      <a:miter lim="800000"/>
                      <a:headEnd/>
                      <a:tailEnd/>
                    </a:ln>
                  </pic:spPr>
                </pic:pic>
              </a:graphicData>
            </a:graphic>
          </wp:inline>
        </w:drawing>
      </w:r>
    </w:p>
    <w:p w:rsidR="001034A6" w:rsidRPr="001034A6" w:rsidRDefault="001034A6" w:rsidP="001034A6">
      <w:pPr>
        <w:tabs>
          <w:tab w:val="left" w:pos="900"/>
        </w:tabs>
        <w:spacing w:line="240" w:lineRule="auto"/>
        <w:ind w:left="360"/>
        <w:jc w:val="center"/>
        <w:rPr>
          <w:rFonts w:cstheme="minorHAnsi"/>
        </w:rPr>
      </w:pPr>
      <w:r w:rsidRPr="001034A6">
        <w:rPr>
          <w:rFonts w:cstheme="minorHAnsi"/>
        </w:rPr>
        <w:t xml:space="preserve">Obr.2.  Nejčastější příklady profilů zón vzorku po chromatografické separaci. Zóna difunduje do strany (0), </w:t>
      </w:r>
      <w:proofErr w:type="spellStart"/>
      <w:r w:rsidRPr="001034A6">
        <w:rPr>
          <w:rFonts w:cstheme="minorHAnsi"/>
        </w:rPr>
        <w:t>chvostuje</w:t>
      </w:r>
      <w:proofErr w:type="spellEnd"/>
      <w:r w:rsidRPr="001034A6">
        <w:rPr>
          <w:rFonts w:cstheme="minorHAnsi"/>
        </w:rPr>
        <w:t xml:space="preserve"> (1), rozmývá se podélně do oválného tvaru (2), má symetrický kulovitý tvar (3).</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spacing w:line="240" w:lineRule="auto"/>
        <w:ind w:left="357"/>
        <w:rPr>
          <w:rFonts w:cstheme="minorHAnsi"/>
        </w:rPr>
      </w:pPr>
      <w:r w:rsidRPr="001034A6">
        <w:rPr>
          <w:rFonts w:cstheme="minorHAnsi"/>
        </w:rPr>
        <w:t>Existují různé způsoby jak zobrazenou zónu vyhodnotit a získat tím příslušnou vzdálenost její migrace v separačním systému:</w:t>
      </w:r>
    </w:p>
    <w:p w:rsidR="001034A6" w:rsidRPr="001034A6" w:rsidRDefault="001034A6" w:rsidP="001034A6">
      <w:pPr>
        <w:spacing w:line="240" w:lineRule="auto"/>
        <w:ind w:left="357"/>
        <w:rPr>
          <w:rFonts w:cstheme="minorHAnsi"/>
          <w:lang w:val="fr-FR"/>
        </w:rPr>
      </w:pPr>
      <w:r w:rsidRPr="001034A6">
        <w:rPr>
          <w:rFonts w:cstheme="minorHAnsi"/>
          <w:lang w:val="fr-FR"/>
        </w:rPr>
        <w:t>i) ve středu zóny</w:t>
      </w:r>
    </w:p>
    <w:p w:rsidR="001034A6" w:rsidRPr="001034A6" w:rsidRDefault="001034A6" w:rsidP="001034A6">
      <w:pPr>
        <w:spacing w:line="240" w:lineRule="auto"/>
        <w:ind w:left="357"/>
        <w:rPr>
          <w:rFonts w:cstheme="minorHAnsi"/>
          <w:lang w:val="fr-FR"/>
        </w:rPr>
      </w:pPr>
      <w:r w:rsidRPr="001034A6">
        <w:rPr>
          <w:rFonts w:cstheme="minorHAnsi"/>
          <w:lang w:val="fr-FR"/>
        </w:rPr>
        <w:t>ii) v těžišti zóny</w:t>
      </w:r>
    </w:p>
    <w:p w:rsidR="001034A6" w:rsidRPr="001034A6" w:rsidRDefault="001034A6" w:rsidP="001034A6">
      <w:pPr>
        <w:spacing w:line="240" w:lineRule="auto"/>
        <w:ind w:left="357"/>
        <w:rPr>
          <w:rFonts w:cstheme="minorHAnsi"/>
          <w:lang w:val="fr-FR"/>
        </w:rPr>
      </w:pPr>
      <w:r w:rsidRPr="001034A6">
        <w:rPr>
          <w:rFonts w:cstheme="minorHAnsi"/>
          <w:lang w:val="fr-FR"/>
        </w:rPr>
        <w:t>iii) proložením ve vrcholu zóny</w:t>
      </w:r>
    </w:p>
    <w:p w:rsidR="001034A6" w:rsidRPr="001034A6" w:rsidRDefault="001034A6" w:rsidP="001034A6">
      <w:pPr>
        <w:spacing w:line="240" w:lineRule="auto"/>
        <w:ind w:left="357"/>
        <w:rPr>
          <w:rFonts w:cstheme="minorHAnsi"/>
          <w:lang w:val="fr-FR"/>
        </w:rPr>
      </w:pPr>
      <w:r w:rsidRPr="001034A6">
        <w:rPr>
          <w:rFonts w:cstheme="minorHAnsi"/>
          <w:lang w:val="fr-FR"/>
        </w:rPr>
        <w:t>Zvolenou metodu pro v</w:t>
      </w:r>
      <w:r w:rsidR="00E9370E">
        <w:rPr>
          <w:rFonts w:cstheme="minorHAnsi"/>
          <w:lang w:val="fr-FR"/>
        </w:rPr>
        <w:t>ý</w:t>
      </w:r>
      <w:r w:rsidRPr="001034A6">
        <w:rPr>
          <w:rFonts w:cstheme="minorHAnsi"/>
          <w:lang w:val="fr-FR"/>
        </w:rPr>
        <w:t>počet retenčního faktoru je třeba v každém případě pro celé vyhodnocení záznamu sjednotit!</w:t>
      </w:r>
    </w:p>
    <w:p w:rsidR="001034A6" w:rsidRPr="001034A6" w:rsidRDefault="001034A6" w:rsidP="00B342D4">
      <w:pPr>
        <w:pStyle w:val="Bezmezer"/>
        <w:tabs>
          <w:tab w:val="left" w:pos="900"/>
        </w:tabs>
        <w:spacing w:after="200"/>
        <w:ind w:left="360"/>
        <w:jc w:val="center"/>
        <w:rPr>
          <w:rFonts w:asciiTheme="minorHAnsi" w:hAnsiTheme="minorHAnsi" w:cstheme="minorHAnsi"/>
          <w:b/>
          <w:bCs/>
          <w:iCs/>
        </w:rPr>
      </w:pPr>
      <w:r w:rsidRPr="001034A6">
        <w:rPr>
          <w:rFonts w:asciiTheme="minorHAnsi" w:hAnsiTheme="minorHAnsi" w:cstheme="minorHAnsi"/>
          <w:lang w:val="fr-FR"/>
        </w:rPr>
        <w:br w:type="page"/>
      </w:r>
      <w:r w:rsidRPr="001034A6">
        <w:rPr>
          <w:rFonts w:asciiTheme="minorHAnsi" w:hAnsiTheme="minorHAnsi" w:cstheme="minorHAnsi"/>
          <w:b/>
          <w:bCs/>
          <w:iCs/>
        </w:rPr>
        <w:lastRenderedPageBreak/>
        <w:t>Vyhodnocení dat - PAGE</w:t>
      </w:r>
    </w:p>
    <w:p w:rsidR="001034A6" w:rsidRPr="001034A6" w:rsidRDefault="001034A6" w:rsidP="001034A6">
      <w:pPr>
        <w:tabs>
          <w:tab w:val="left" w:pos="900"/>
        </w:tabs>
        <w:spacing w:line="240" w:lineRule="auto"/>
        <w:ind w:left="360"/>
        <w:rPr>
          <w:rFonts w:cstheme="minorHAnsi"/>
        </w:rPr>
      </w:pPr>
    </w:p>
    <w:p w:rsidR="001034A6" w:rsidRPr="001034A6" w:rsidRDefault="001034A6" w:rsidP="001034A6">
      <w:pPr>
        <w:spacing w:line="240" w:lineRule="auto"/>
        <w:ind w:left="1548" w:hanging="1191"/>
        <w:rPr>
          <w:rFonts w:cstheme="minorHAnsi"/>
        </w:rPr>
      </w:pPr>
      <w:r w:rsidRPr="001034A6">
        <w:rPr>
          <w:rFonts w:cstheme="minorHAnsi"/>
        </w:rPr>
        <w:t>Úlohy: č.6 – Stanovení vaječných proteinů pomocí gelové elektroforézy</w:t>
      </w:r>
    </w:p>
    <w:p w:rsidR="001034A6" w:rsidRPr="001034A6" w:rsidRDefault="001034A6" w:rsidP="001034A6">
      <w:pPr>
        <w:spacing w:line="240" w:lineRule="auto"/>
        <w:ind w:left="1080" w:hanging="720"/>
        <w:rPr>
          <w:rFonts w:cstheme="minorHAnsi"/>
        </w:rPr>
      </w:pPr>
    </w:p>
    <w:p w:rsidR="001034A6" w:rsidRPr="001034A6" w:rsidRDefault="001034A6" w:rsidP="001034A6">
      <w:pPr>
        <w:spacing w:line="240" w:lineRule="auto"/>
        <w:ind w:left="357"/>
        <w:rPr>
          <w:rFonts w:cstheme="minorHAnsi"/>
        </w:rPr>
      </w:pPr>
      <w:r w:rsidRPr="001034A6">
        <w:rPr>
          <w:rFonts w:cstheme="minorHAnsi"/>
        </w:rPr>
        <w:t xml:space="preserve">Separace vaječných proteinů probíhá při této úloze v nativním prostředí, tedy bez přítomnosti denaturujícího činidla a denaturace samotných proteinů. </w:t>
      </w:r>
    </w:p>
    <w:p w:rsidR="001034A6" w:rsidRPr="001034A6" w:rsidRDefault="001034A6" w:rsidP="001034A6">
      <w:pPr>
        <w:spacing w:line="240" w:lineRule="auto"/>
        <w:ind w:left="357"/>
        <w:rPr>
          <w:rFonts w:cstheme="minorHAnsi"/>
        </w:rPr>
      </w:pPr>
      <w:r w:rsidRPr="001034A6">
        <w:rPr>
          <w:rFonts w:cstheme="minorHAnsi"/>
        </w:rPr>
        <w:t xml:space="preserve">Nativní nebo také nedenaturující elektroforéza v </w:t>
      </w:r>
      <w:proofErr w:type="spellStart"/>
      <w:r w:rsidRPr="001034A6">
        <w:rPr>
          <w:rFonts w:cstheme="minorHAnsi"/>
        </w:rPr>
        <w:t>polyakrylamidovém</w:t>
      </w:r>
      <w:proofErr w:type="spellEnd"/>
      <w:r w:rsidRPr="001034A6">
        <w:rPr>
          <w:rFonts w:cstheme="minorHAnsi"/>
        </w:rPr>
        <w:t xml:space="preserve"> gelu je metoda, která se používá pro separaci látek (biologicky aktivních proteinů). V nativní gelové elektroforéze mobilita závisí na tvaru/velikosti, ale i na náboji látek, důležitými parametry tedy jsou pH elektroforetického pufru a </w:t>
      </w:r>
      <w:proofErr w:type="spellStart"/>
      <w:r w:rsidRPr="001034A6">
        <w:rPr>
          <w:rFonts w:cstheme="minorHAnsi"/>
        </w:rPr>
        <w:t>pI</w:t>
      </w:r>
      <w:proofErr w:type="spellEnd"/>
      <w:r w:rsidRPr="001034A6">
        <w:rPr>
          <w:rFonts w:cstheme="minorHAnsi"/>
        </w:rPr>
        <w:t xml:space="preserve"> separovaných látek. Hodnota pH pufru ovlivňuje nejen náboj molekuly, ale i její velikost a rychlost pohybu v gelu. Jeho volbou se upřednostňuje kvalita separace a její rychlost.</w:t>
      </w:r>
    </w:p>
    <w:p w:rsidR="001034A6" w:rsidRPr="001034A6" w:rsidRDefault="001034A6" w:rsidP="001034A6">
      <w:pPr>
        <w:spacing w:line="240" w:lineRule="auto"/>
        <w:ind w:left="357"/>
        <w:rPr>
          <w:rFonts w:cstheme="minorHAnsi"/>
        </w:rPr>
      </w:pPr>
      <w:r w:rsidRPr="001034A6">
        <w:rPr>
          <w:rFonts w:cstheme="minorHAnsi"/>
        </w:rPr>
        <w:t xml:space="preserve">Po ukončení separace za použití vhodné vodící barvičky se vyhodnocuje získaný </w:t>
      </w:r>
      <w:proofErr w:type="spellStart"/>
      <w:r w:rsidRPr="001034A6">
        <w:rPr>
          <w:rFonts w:cstheme="minorHAnsi"/>
        </w:rPr>
        <w:t>elektroforegram</w:t>
      </w:r>
      <w:proofErr w:type="spellEnd"/>
      <w:r w:rsidRPr="001034A6">
        <w:rPr>
          <w:rFonts w:cstheme="minorHAnsi"/>
        </w:rPr>
        <w:t>. Vodící barvičku, která se přidává k</w:t>
      </w:r>
      <w:r w:rsidR="001D3538">
        <w:rPr>
          <w:rFonts w:cstheme="minorHAnsi"/>
        </w:rPr>
        <w:t>e</w:t>
      </w:r>
      <w:r w:rsidRPr="001034A6">
        <w:rPr>
          <w:rFonts w:cstheme="minorHAnsi"/>
        </w:rPr>
        <w:t> vzorku při jeho přípravě, volíme podle typu separace – katodická nebo anodická. Elektroforéza může tedy být prováděna vždy pouze v jednom směru a v této podobě poté i vyhodnocena (katodická separace = migrace kladně nabitých proteinů ke katodě, anodická separace naopak).</w:t>
      </w:r>
    </w:p>
    <w:p w:rsidR="001034A6" w:rsidRPr="001034A6" w:rsidRDefault="001034A6" w:rsidP="001034A6">
      <w:pPr>
        <w:spacing w:line="240" w:lineRule="auto"/>
        <w:ind w:left="357"/>
        <w:rPr>
          <w:rFonts w:cstheme="minorHAnsi"/>
        </w:rPr>
      </w:pPr>
    </w:p>
    <w:p w:rsidR="001034A6" w:rsidRPr="001034A6" w:rsidRDefault="001034A6" w:rsidP="001034A6">
      <w:pPr>
        <w:spacing w:line="240" w:lineRule="auto"/>
        <w:ind w:left="357"/>
        <w:rPr>
          <w:rFonts w:cstheme="minorHAnsi"/>
        </w:rPr>
      </w:pPr>
      <w:r w:rsidRPr="001034A6">
        <w:rPr>
          <w:rFonts w:cstheme="minorHAnsi"/>
        </w:rPr>
        <w:t xml:space="preserve">Při praktickém provedení se setkáváme s jevem, kdy lysozym ve vaječném bílku při separaci na komerčním </w:t>
      </w:r>
      <w:proofErr w:type="spellStart"/>
      <w:r w:rsidRPr="001034A6">
        <w:rPr>
          <w:rFonts w:cstheme="minorHAnsi"/>
        </w:rPr>
        <w:t>Sebia</w:t>
      </w:r>
      <w:proofErr w:type="spellEnd"/>
      <w:r w:rsidRPr="001034A6">
        <w:rPr>
          <w:rFonts w:cstheme="minorHAnsi"/>
        </w:rPr>
        <w:t xml:space="preserve"> gelu jako jediný migruje ke katodě. Samozřejmě jedním z faktorů je pH </w:t>
      </w:r>
      <w:proofErr w:type="spellStart"/>
      <w:r w:rsidRPr="001034A6">
        <w:rPr>
          <w:rFonts w:cstheme="minorHAnsi"/>
        </w:rPr>
        <w:t>pufračního</w:t>
      </w:r>
      <w:proofErr w:type="spellEnd"/>
      <w:r w:rsidRPr="001034A6">
        <w:rPr>
          <w:rFonts w:cstheme="minorHAnsi"/>
        </w:rPr>
        <w:t xml:space="preserve"> prostředí, ale také samotné chování lysozymu vzhledem jeho </w:t>
      </w:r>
      <w:proofErr w:type="spellStart"/>
      <w:r w:rsidRPr="001034A6">
        <w:rPr>
          <w:rFonts w:cstheme="minorHAnsi"/>
        </w:rPr>
        <w:t>pI</w:t>
      </w:r>
      <w:proofErr w:type="spellEnd"/>
      <w:r w:rsidRPr="001034A6">
        <w:rPr>
          <w:rFonts w:cstheme="minorHAnsi"/>
        </w:rPr>
        <w:t xml:space="preserve"> hodnotě. Lysozym při vyšších hodnotách pH putuje lépe ke katodě. Uplatňuje se zde vyšší náboj. Naopak při nižších pH hodnotách, kdy se uplatňuje menší náboj, putuje ke katodě hůře. Za těchto podmínek (použití </w:t>
      </w:r>
      <w:proofErr w:type="spellStart"/>
      <w:r w:rsidRPr="001034A6">
        <w:rPr>
          <w:rFonts w:cstheme="minorHAnsi"/>
        </w:rPr>
        <w:t>bromfenolové</w:t>
      </w:r>
      <w:proofErr w:type="spellEnd"/>
      <w:r w:rsidRPr="001034A6">
        <w:rPr>
          <w:rFonts w:cstheme="minorHAnsi"/>
        </w:rPr>
        <w:t xml:space="preserve"> modři jako vodící barvičky, která pouze zaznamenává celou migrační dráhu proteinů; použitého elektroforetického pufru) nemůže být separace vyhodnocena podle postupu, který je uvedený ve skriptech u návodu úlohy.</w:t>
      </w:r>
    </w:p>
    <w:p w:rsidR="001034A6" w:rsidRPr="001034A6" w:rsidRDefault="001034A6" w:rsidP="001034A6">
      <w:pPr>
        <w:spacing w:line="240" w:lineRule="auto"/>
        <w:ind w:left="357"/>
        <w:rPr>
          <w:rFonts w:cstheme="minorHAnsi"/>
        </w:rPr>
      </w:pPr>
    </w:p>
    <w:p w:rsidR="001034A6" w:rsidRPr="001034A6" w:rsidRDefault="001034A6" w:rsidP="001034A6">
      <w:pPr>
        <w:spacing w:line="240" w:lineRule="auto"/>
        <w:ind w:left="357"/>
        <w:rPr>
          <w:rFonts w:cstheme="minorHAnsi"/>
          <w:u w:val="single"/>
        </w:rPr>
      </w:pPr>
      <w:r w:rsidRPr="001034A6">
        <w:rPr>
          <w:rFonts w:cstheme="minorHAnsi"/>
          <w:u w:val="single"/>
        </w:rPr>
        <w:t>ŘEŠENÍ:</w:t>
      </w:r>
    </w:p>
    <w:p w:rsidR="001034A6" w:rsidRPr="001034A6" w:rsidRDefault="001034A6" w:rsidP="001034A6">
      <w:pPr>
        <w:spacing w:line="240" w:lineRule="auto"/>
        <w:ind w:left="357"/>
        <w:rPr>
          <w:rFonts w:cstheme="minorHAnsi"/>
        </w:rPr>
      </w:pPr>
      <w:r w:rsidRPr="001034A6">
        <w:rPr>
          <w:rFonts w:cstheme="minorHAnsi"/>
        </w:rPr>
        <w:t>Pro uniformní separaci proteinů v GE lze využít zvláštní typ nativní gelové elektroforézy tzv. modrou nativní gelovou elektroforézu (BN-GE).</w:t>
      </w:r>
    </w:p>
    <w:p w:rsidR="001034A6" w:rsidRPr="001034A6" w:rsidRDefault="001034A6" w:rsidP="001034A6">
      <w:pPr>
        <w:spacing w:line="240" w:lineRule="auto"/>
        <w:ind w:left="357"/>
        <w:rPr>
          <w:rFonts w:cstheme="minorHAnsi"/>
        </w:rPr>
      </w:pPr>
    </w:p>
    <w:p w:rsidR="001034A6" w:rsidRPr="001034A6" w:rsidRDefault="001034A6" w:rsidP="001034A6">
      <w:pPr>
        <w:spacing w:line="240" w:lineRule="auto"/>
        <w:ind w:left="357"/>
        <w:rPr>
          <w:rFonts w:cstheme="minorHAnsi"/>
          <w:b/>
          <w:i/>
        </w:rPr>
      </w:pPr>
      <w:r w:rsidRPr="001034A6">
        <w:rPr>
          <w:rFonts w:cstheme="minorHAnsi"/>
          <w:b/>
          <w:i/>
        </w:rPr>
        <w:t>BN-GE</w:t>
      </w:r>
    </w:p>
    <w:p w:rsidR="001034A6" w:rsidRPr="001034A6" w:rsidRDefault="001034A6" w:rsidP="001034A6">
      <w:pPr>
        <w:spacing w:line="240" w:lineRule="auto"/>
        <w:ind w:left="357"/>
        <w:rPr>
          <w:rFonts w:cstheme="minorHAnsi"/>
        </w:rPr>
      </w:pPr>
      <w:r w:rsidRPr="001034A6">
        <w:rPr>
          <w:rFonts w:cstheme="minorHAnsi"/>
        </w:rPr>
        <w:t xml:space="preserve">Tato GE využívá CNN G-250, který se často přidává ke vzorku krátce před elektroforézou a také se anion této barvičky vyskytuje v pufru. CBB G-250 stejně jako </w:t>
      </w:r>
      <w:proofErr w:type="spellStart"/>
      <w:r w:rsidRPr="001034A6">
        <w:rPr>
          <w:rFonts w:cstheme="minorHAnsi"/>
        </w:rPr>
        <w:t>dodecylsíran</w:t>
      </w:r>
      <w:proofErr w:type="spellEnd"/>
      <w:r w:rsidRPr="001034A6">
        <w:rPr>
          <w:rFonts w:cstheme="minorHAnsi"/>
        </w:rPr>
        <w:t xml:space="preserve"> sodný (u denaturující GE; avšak na jiném mechanismu) udělí proteinům záporný náboj a proteiny migrují k anodě. Přirozený tvar, vnitřní náboj, ale i vaznost CBB G-250 na protein ovlivňuje chování proteinů </w:t>
      </w:r>
      <w:proofErr w:type="gramStart"/>
      <w:r w:rsidRPr="001034A6">
        <w:rPr>
          <w:rFonts w:cstheme="minorHAnsi"/>
        </w:rPr>
        <w:t>při  elektroforéze</w:t>
      </w:r>
      <w:proofErr w:type="gramEnd"/>
      <w:r w:rsidRPr="001034A6">
        <w:rPr>
          <w:rFonts w:cstheme="minorHAnsi"/>
        </w:rPr>
        <w:t>. CBB není detergentem, používá se v minimálním množství a poměr vázání CBB/protein a náboj/molekulová hmotnost není u BN-GE st</w:t>
      </w:r>
      <w:r w:rsidR="007F128D">
        <w:rPr>
          <w:rFonts w:cstheme="minorHAnsi"/>
        </w:rPr>
        <w:t>á</w:t>
      </w:r>
      <w:bookmarkStart w:id="0" w:name="_GoBack"/>
      <w:bookmarkEnd w:id="0"/>
      <w:r w:rsidRPr="001034A6">
        <w:rPr>
          <w:rFonts w:cstheme="minorHAnsi"/>
        </w:rPr>
        <w:t>lý. Hodnota pH použitého elektroforetického pufru bývá 7,5. Za těchto podmínek můžeme aplikovat kalibrační závislost pro vyhodnocení molekulové hmotnosti proteinů pro:</w:t>
      </w:r>
    </w:p>
    <w:p w:rsidR="001034A6" w:rsidRPr="001034A6" w:rsidRDefault="001034A6" w:rsidP="001034A6">
      <w:pPr>
        <w:spacing w:line="240" w:lineRule="auto"/>
        <w:ind w:left="357"/>
        <w:rPr>
          <w:rFonts w:cstheme="minorHAnsi"/>
        </w:rPr>
      </w:pPr>
      <w:r w:rsidRPr="001034A6">
        <w:rPr>
          <w:rFonts w:cstheme="minorHAnsi"/>
        </w:rPr>
        <w:lastRenderedPageBreak/>
        <w:t>i) proteiny s </w:t>
      </w:r>
      <w:proofErr w:type="spellStart"/>
      <w:r w:rsidRPr="001034A6">
        <w:rPr>
          <w:rFonts w:cstheme="minorHAnsi"/>
        </w:rPr>
        <w:t>pI</w:t>
      </w:r>
      <w:proofErr w:type="spellEnd"/>
      <w:r w:rsidRPr="001034A6">
        <w:rPr>
          <w:rFonts w:cstheme="minorHAnsi"/>
        </w:rPr>
        <w:t> &lt; 8,6, které váží CBB G-250</w:t>
      </w:r>
    </w:p>
    <w:p w:rsidR="001034A6" w:rsidRPr="001034A6" w:rsidRDefault="001034A6" w:rsidP="001034A6">
      <w:pPr>
        <w:spacing w:line="240" w:lineRule="auto"/>
        <w:ind w:left="357"/>
        <w:rPr>
          <w:rFonts w:cstheme="minorHAnsi"/>
        </w:rPr>
      </w:pPr>
      <w:proofErr w:type="spellStart"/>
      <w:r w:rsidRPr="001034A6">
        <w:rPr>
          <w:rFonts w:cstheme="minorHAnsi"/>
        </w:rPr>
        <w:t>ii</w:t>
      </w:r>
      <w:proofErr w:type="spellEnd"/>
      <w:r w:rsidRPr="001034A6">
        <w:rPr>
          <w:rFonts w:cstheme="minorHAnsi"/>
        </w:rPr>
        <w:t>) proteiny s </w:t>
      </w:r>
      <w:proofErr w:type="spellStart"/>
      <w:r w:rsidRPr="001034A6">
        <w:rPr>
          <w:rFonts w:cstheme="minorHAnsi"/>
        </w:rPr>
        <w:t>pI</w:t>
      </w:r>
      <w:proofErr w:type="spellEnd"/>
      <w:r w:rsidRPr="001034A6">
        <w:rPr>
          <w:rFonts w:cstheme="minorHAnsi"/>
        </w:rPr>
        <w:t> ≤ 5,4, které neváží CBB G-250</w:t>
      </w:r>
    </w:p>
    <w:p w:rsidR="001034A6" w:rsidRPr="001034A6" w:rsidRDefault="001034A6" w:rsidP="001034A6">
      <w:pPr>
        <w:spacing w:line="240" w:lineRule="auto"/>
        <w:ind w:left="357"/>
        <w:rPr>
          <w:rFonts w:cstheme="minorHAnsi"/>
        </w:rPr>
      </w:pPr>
    </w:p>
    <w:p w:rsidR="001034A6" w:rsidRPr="001034A6" w:rsidRDefault="001034A6" w:rsidP="001034A6">
      <w:pPr>
        <w:tabs>
          <w:tab w:val="left" w:pos="794"/>
        </w:tabs>
        <w:suppressAutoHyphens/>
        <w:spacing w:line="240" w:lineRule="auto"/>
        <w:ind w:left="360"/>
        <w:rPr>
          <w:rFonts w:cstheme="minorHAnsi"/>
        </w:rPr>
      </w:pPr>
      <w:bookmarkStart w:id="1" w:name="_Ref162710737"/>
      <w:r w:rsidRPr="001034A6">
        <w:rPr>
          <w:rFonts w:cstheme="minorHAnsi"/>
        </w:rPr>
        <w:t>Reference:</w:t>
      </w:r>
    </w:p>
    <w:p w:rsidR="001034A6" w:rsidRPr="001034A6" w:rsidRDefault="001034A6" w:rsidP="001034A6">
      <w:pPr>
        <w:tabs>
          <w:tab w:val="left" w:pos="794"/>
        </w:tabs>
        <w:suppressAutoHyphens/>
        <w:spacing w:line="240" w:lineRule="auto"/>
        <w:ind w:left="360"/>
        <w:rPr>
          <w:rFonts w:cstheme="minorHAnsi"/>
          <w:lang w:val="en-GB"/>
        </w:rPr>
      </w:pPr>
      <w:r w:rsidRPr="001034A6">
        <w:rPr>
          <w:rFonts w:cstheme="minorHAnsi"/>
          <w:lang w:val="en-GB"/>
        </w:rPr>
        <w:t xml:space="preserve">Tracy McLellan, Electrophoresis Buffers for Polyacrylamide Gels at Various pH, </w:t>
      </w:r>
      <w:r w:rsidRPr="001034A6">
        <w:rPr>
          <w:rFonts w:cstheme="minorHAnsi"/>
          <w:i/>
          <w:iCs/>
          <w:lang w:val="en-GB"/>
        </w:rPr>
        <w:t>Analytical Biochemistry,</w:t>
      </w:r>
      <w:r w:rsidRPr="001034A6">
        <w:rPr>
          <w:rFonts w:cstheme="minorHAnsi"/>
          <w:lang w:val="en-GB"/>
        </w:rPr>
        <w:t xml:space="preserve"> 1982, 126, 94-99</w:t>
      </w:r>
      <w:bookmarkEnd w:id="1"/>
    </w:p>
    <w:p w:rsidR="001034A6" w:rsidRPr="001034A6" w:rsidRDefault="001034A6" w:rsidP="001034A6">
      <w:pPr>
        <w:tabs>
          <w:tab w:val="left" w:pos="794"/>
        </w:tabs>
        <w:suppressAutoHyphens/>
        <w:autoSpaceDE w:val="0"/>
        <w:spacing w:line="240" w:lineRule="auto"/>
        <w:ind w:left="360"/>
        <w:rPr>
          <w:rFonts w:cstheme="minorHAnsi"/>
          <w:color w:val="231F20"/>
          <w:lang w:val="en-GB"/>
        </w:rPr>
      </w:pPr>
      <w:r w:rsidRPr="001034A6">
        <w:rPr>
          <w:rFonts w:cstheme="minorHAnsi"/>
          <w:lang w:val="en-GB"/>
        </w:rPr>
        <w:t xml:space="preserve"> </w:t>
      </w:r>
      <w:bookmarkStart w:id="2" w:name="_Ref162711356"/>
      <w:r w:rsidRPr="001034A6">
        <w:rPr>
          <w:rFonts w:cstheme="minorHAnsi"/>
          <w:color w:val="231F20"/>
          <w:lang w:val="en-GB"/>
        </w:rPr>
        <w:t xml:space="preserve">F. Krause, Detection and analysis of protein–protein interactions in organellar and prokaryotic proteomes by native gel electrophoresis: (Membrane) protein complexes and </w:t>
      </w:r>
      <w:proofErr w:type="spellStart"/>
      <w:r w:rsidRPr="001034A6">
        <w:rPr>
          <w:rFonts w:cstheme="minorHAnsi"/>
          <w:color w:val="231F20"/>
          <w:lang w:val="en-GB"/>
        </w:rPr>
        <w:t>supercomplexes</w:t>
      </w:r>
      <w:proofErr w:type="spellEnd"/>
      <w:r w:rsidRPr="001034A6">
        <w:rPr>
          <w:rFonts w:cstheme="minorHAnsi"/>
          <w:color w:val="231F20"/>
          <w:lang w:val="en-GB"/>
        </w:rPr>
        <w:t xml:space="preserve">, </w:t>
      </w:r>
      <w:r w:rsidRPr="001034A6">
        <w:rPr>
          <w:rFonts w:cstheme="minorHAnsi"/>
          <w:i/>
          <w:iCs/>
          <w:color w:val="231F20"/>
          <w:lang w:val="en-GB"/>
        </w:rPr>
        <w:t>Electrophoresis,</w:t>
      </w:r>
      <w:r w:rsidRPr="001034A6">
        <w:rPr>
          <w:rFonts w:cstheme="minorHAnsi"/>
          <w:iCs/>
          <w:color w:val="231F20"/>
          <w:lang w:val="en-GB"/>
        </w:rPr>
        <w:t xml:space="preserve"> </w:t>
      </w:r>
      <w:r w:rsidRPr="001034A6">
        <w:rPr>
          <w:rFonts w:cstheme="minorHAnsi"/>
          <w:color w:val="231F20"/>
          <w:lang w:val="en-GB"/>
        </w:rPr>
        <w:t>2006, 27,</w:t>
      </w:r>
      <w:r w:rsidRPr="001034A6">
        <w:rPr>
          <w:rFonts w:cstheme="minorHAnsi"/>
          <w:iCs/>
          <w:color w:val="231F20"/>
          <w:lang w:val="en-GB"/>
        </w:rPr>
        <w:t xml:space="preserve"> </w:t>
      </w:r>
      <w:r w:rsidRPr="001034A6">
        <w:rPr>
          <w:rFonts w:cstheme="minorHAnsi"/>
          <w:color w:val="231F20"/>
          <w:lang w:val="en-GB"/>
        </w:rPr>
        <w:t>2759–2781</w:t>
      </w:r>
      <w:bookmarkEnd w:id="2"/>
    </w:p>
    <w:p w:rsidR="001034A6" w:rsidRPr="001034A6" w:rsidRDefault="001034A6" w:rsidP="001034A6">
      <w:pPr>
        <w:spacing w:line="240" w:lineRule="auto"/>
        <w:ind w:left="357"/>
        <w:rPr>
          <w:rFonts w:cstheme="minorHAnsi"/>
        </w:rPr>
      </w:pPr>
    </w:p>
    <w:sectPr w:rsidR="001034A6" w:rsidRPr="001034A6" w:rsidSect="004970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233A"/>
    <w:multiLevelType w:val="hybridMultilevel"/>
    <w:tmpl w:val="3C120CFC"/>
    <w:lvl w:ilvl="0" w:tplc="2AA8B4E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C620077"/>
    <w:multiLevelType w:val="hybridMultilevel"/>
    <w:tmpl w:val="14660BA0"/>
    <w:lvl w:ilvl="0" w:tplc="2AA8B4E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4460092"/>
    <w:multiLevelType w:val="hybridMultilevel"/>
    <w:tmpl w:val="34F6512E"/>
    <w:lvl w:ilvl="0" w:tplc="B3B81EE8">
      <w:start w:val="1"/>
      <w:numFmt w:val="upperLetter"/>
      <w:lvlText w:val="%1."/>
      <w:lvlJc w:val="left"/>
      <w:pPr>
        <w:tabs>
          <w:tab w:val="num" w:pos="644"/>
        </w:tabs>
        <w:ind w:left="644" w:hanging="360"/>
      </w:pPr>
      <w:rPr>
        <w:rFonts w:hint="default"/>
        <w:b/>
      </w:rPr>
    </w:lvl>
    <w:lvl w:ilvl="1" w:tplc="4B404D98">
      <w:start w:val="1"/>
      <w:numFmt w:val="lowerRoman"/>
      <w:lvlText w:val="%2)"/>
      <w:lvlJc w:val="left"/>
      <w:pPr>
        <w:tabs>
          <w:tab w:val="num" w:pos="1724"/>
        </w:tabs>
        <w:ind w:left="1724" w:hanging="720"/>
      </w:pPr>
      <w:rPr>
        <w:rFonts w:hint="default"/>
      </w:rPr>
    </w:lvl>
    <w:lvl w:ilvl="2" w:tplc="C9B22B14">
      <w:numFmt w:val="bullet"/>
      <w:lvlText w:val="-"/>
      <w:lvlJc w:val="left"/>
      <w:pPr>
        <w:tabs>
          <w:tab w:val="num" w:pos="2264"/>
        </w:tabs>
        <w:ind w:left="2264" w:hanging="360"/>
      </w:pPr>
      <w:rPr>
        <w:rFonts w:ascii="Times New Roman" w:eastAsia="Times New Roman" w:hAnsi="Times New Roman" w:cs="Times New Roman" w:hint="default"/>
      </w:rPr>
    </w:lvl>
    <w:lvl w:ilvl="3" w:tplc="D7FED0FC">
      <w:numFmt w:val="bullet"/>
      <w:lvlText w:val="–"/>
      <w:lvlJc w:val="left"/>
      <w:pPr>
        <w:tabs>
          <w:tab w:val="num" w:pos="2804"/>
        </w:tabs>
        <w:ind w:left="2804" w:hanging="360"/>
      </w:pPr>
      <w:rPr>
        <w:rFonts w:ascii="Times New Roman" w:eastAsia="Times New Roman" w:hAnsi="Times New Roman" w:cs="Times New Roman"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470F97"/>
    <w:rsid w:val="00000DC0"/>
    <w:rsid w:val="00005A70"/>
    <w:rsid w:val="00030D1D"/>
    <w:rsid w:val="000437F5"/>
    <w:rsid w:val="00043E91"/>
    <w:rsid w:val="00060922"/>
    <w:rsid w:val="00073F9E"/>
    <w:rsid w:val="00075164"/>
    <w:rsid w:val="00093C54"/>
    <w:rsid w:val="000D5994"/>
    <w:rsid w:val="001034A6"/>
    <w:rsid w:val="001D3538"/>
    <w:rsid w:val="001E07F3"/>
    <w:rsid w:val="001F7742"/>
    <w:rsid w:val="00200019"/>
    <w:rsid w:val="002127C3"/>
    <w:rsid w:val="00213043"/>
    <w:rsid w:val="00213C93"/>
    <w:rsid w:val="00223158"/>
    <w:rsid w:val="00263610"/>
    <w:rsid w:val="002841E0"/>
    <w:rsid w:val="002A28B0"/>
    <w:rsid w:val="002B4CED"/>
    <w:rsid w:val="002D5407"/>
    <w:rsid w:val="00310AF2"/>
    <w:rsid w:val="003243EF"/>
    <w:rsid w:val="00324536"/>
    <w:rsid w:val="003402C6"/>
    <w:rsid w:val="003443E5"/>
    <w:rsid w:val="00353F60"/>
    <w:rsid w:val="003A1AF7"/>
    <w:rsid w:val="003A421D"/>
    <w:rsid w:val="003E3D9B"/>
    <w:rsid w:val="003E5945"/>
    <w:rsid w:val="003F1699"/>
    <w:rsid w:val="003F633D"/>
    <w:rsid w:val="00403D86"/>
    <w:rsid w:val="00443E06"/>
    <w:rsid w:val="00470F97"/>
    <w:rsid w:val="00475B21"/>
    <w:rsid w:val="00497004"/>
    <w:rsid w:val="004C0506"/>
    <w:rsid w:val="004F018B"/>
    <w:rsid w:val="004F275F"/>
    <w:rsid w:val="00532280"/>
    <w:rsid w:val="005540C0"/>
    <w:rsid w:val="00566D22"/>
    <w:rsid w:val="005765DC"/>
    <w:rsid w:val="00591D38"/>
    <w:rsid w:val="005E044C"/>
    <w:rsid w:val="005E1ECB"/>
    <w:rsid w:val="005E6538"/>
    <w:rsid w:val="00600991"/>
    <w:rsid w:val="00601E91"/>
    <w:rsid w:val="0061228E"/>
    <w:rsid w:val="006133BA"/>
    <w:rsid w:val="00632B1B"/>
    <w:rsid w:val="00675C4A"/>
    <w:rsid w:val="006A0DA3"/>
    <w:rsid w:val="00706DC7"/>
    <w:rsid w:val="007369F9"/>
    <w:rsid w:val="0075669A"/>
    <w:rsid w:val="007822B5"/>
    <w:rsid w:val="00787001"/>
    <w:rsid w:val="007909C3"/>
    <w:rsid w:val="007B7C76"/>
    <w:rsid w:val="007C1E17"/>
    <w:rsid w:val="007C6467"/>
    <w:rsid w:val="007F006C"/>
    <w:rsid w:val="007F128D"/>
    <w:rsid w:val="00877F64"/>
    <w:rsid w:val="00883F92"/>
    <w:rsid w:val="008D51EE"/>
    <w:rsid w:val="00927436"/>
    <w:rsid w:val="009521A2"/>
    <w:rsid w:val="00965DED"/>
    <w:rsid w:val="009C24EC"/>
    <w:rsid w:val="009D51B7"/>
    <w:rsid w:val="00A04F5E"/>
    <w:rsid w:val="00A32619"/>
    <w:rsid w:val="00A538DE"/>
    <w:rsid w:val="00A65BB5"/>
    <w:rsid w:val="00A72698"/>
    <w:rsid w:val="00A97312"/>
    <w:rsid w:val="00AA467A"/>
    <w:rsid w:val="00AD0CEE"/>
    <w:rsid w:val="00AD17D4"/>
    <w:rsid w:val="00AF2E69"/>
    <w:rsid w:val="00B079B8"/>
    <w:rsid w:val="00B10B4E"/>
    <w:rsid w:val="00B10BDB"/>
    <w:rsid w:val="00B11101"/>
    <w:rsid w:val="00B342D4"/>
    <w:rsid w:val="00B57577"/>
    <w:rsid w:val="00B80DA0"/>
    <w:rsid w:val="00B860E7"/>
    <w:rsid w:val="00BD0E3E"/>
    <w:rsid w:val="00BE2CC6"/>
    <w:rsid w:val="00BE3F33"/>
    <w:rsid w:val="00BE4692"/>
    <w:rsid w:val="00C12F7D"/>
    <w:rsid w:val="00C52A85"/>
    <w:rsid w:val="00C55E5D"/>
    <w:rsid w:val="00D040C9"/>
    <w:rsid w:val="00D07FE8"/>
    <w:rsid w:val="00D14375"/>
    <w:rsid w:val="00D333B7"/>
    <w:rsid w:val="00D719BD"/>
    <w:rsid w:val="00D810CF"/>
    <w:rsid w:val="00D8765A"/>
    <w:rsid w:val="00D958B4"/>
    <w:rsid w:val="00DC015F"/>
    <w:rsid w:val="00E0070A"/>
    <w:rsid w:val="00E1139E"/>
    <w:rsid w:val="00E215F9"/>
    <w:rsid w:val="00E304A6"/>
    <w:rsid w:val="00E5645A"/>
    <w:rsid w:val="00E71809"/>
    <w:rsid w:val="00E74D2F"/>
    <w:rsid w:val="00E8254B"/>
    <w:rsid w:val="00E9301E"/>
    <w:rsid w:val="00E9370E"/>
    <w:rsid w:val="00E945B6"/>
    <w:rsid w:val="00EB0CE7"/>
    <w:rsid w:val="00EB10CF"/>
    <w:rsid w:val="00EF1AB7"/>
    <w:rsid w:val="00EF3099"/>
    <w:rsid w:val="00F125E1"/>
    <w:rsid w:val="00F12F60"/>
    <w:rsid w:val="00F3560B"/>
    <w:rsid w:val="00F61EE8"/>
    <w:rsid w:val="00FC795D"/>
    <w:rsid w:val="00FF13D8"/>
    <w:rsid w:val="00FF6E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7004"/>
  </w:style>
  <w:style w:type="paragraph" w:styleId="Nadpis1">
    <w:name w:val="heading 1"/>
    <w:basedOn w:val="Normln"/>
    <w:next w:val="Normln"/>
    <w:link w:val="Nadpis1Char"/>
    <w:qFormat/>
    <w:rsid w:val="001034A6"/>
    <w:pPr>
      <w:keepNext/>
      <w:spacing w:before="120" w:after="60" w:line="240" w:lineRule="atLeast"/>
      <w:jc w:val="center"/>
      <w:outlineLvl w:val="0"/>
    </w:pPr>
    <w:rPr>
      <w:rFonts w:ascii="Arial" w:eastAsia="Times New Roman" w:hAnsi="Arial" w:cs="Times New Roman"/>
      <w:b/>
      <w:kern w:val="28"/>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53F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B10BDB"/>
    <w:rPr>
      <w:color w:val="808080"/>
    </w:rPr>
  </w:style>
  <w:style w:type="paragraph" w:styleId="Textbubliny">
    <w:name w:val="Balloon Text"/>
    <w:basedOn w:val="Normln"/>
    <w:link w:val="TextbublinyChar"/>
    <w:uiPriority w:val="99"/>
    <w:semiHidden/>
    <w:unhideWhenUsed/>
    <w:rsid w:val="00B10B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BDB"/>
    <w:rPr>
      <w:rFonts w:ascii="Tahoma" w:hAnsi="Tahoma" w:cs="Tahoma"/>
      <w:sz w:val="16"/>
      <w:szCs w:val="16"/>
    </w:rPr>
  </w:style>
  <w:style w:type="paragraph" w:styleId="Bezmezer">
    <w:name w:val="No Spacing"/>
    <w:qFormat/>
    <w:rsid w:val="0061228E"/>
    <w:pPr>
      <w:spacing w:after="0" w:line="240" w:lineRule="auto"/>
    </w:pPr>
    <w:rPr>
      <w:rFonts w:ascii="Calibri" w:eastAsia="Calibri" w:hAnsi="Calibri" w:cs="Times New Roman"/>
    </w:rPr>
  </w:style>
  <w:style w:type="character" w:customStyle="1" w:styleId="Nadpis1Char">
    <w:name w:val="Nadpis 1 Char"/>
    <w:basedOn w:val="Standardnpsmoodstavce"/>
    <w:link w:val="Nadpis1"/>
    <w:rsid w:val="001034A6"/>
    <w:rPr>
      <w:rFonts w:ascii="Arial" w:eastAsia="Times New Roman" w:hAnsi="Arial" w:cs="Times New Roman"/>
      <w:b/>
      <w:kern w:val="28"/>
      <w:sz w:val="28"/>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2205</TotalTime>
  <Pages>1</Pages>
  <Words>2902</Words>
  <Characters>17128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H</dc:creator>
  <cp:lastModifiedBy>Ales H</cp:lastModifiedBy>
  <cp:revision>82</cp:revision>
  <dcterms:created xsi:type="dcterms:W3CDTF">2021-11-04T10:42:00Z</dcterms:created>
  <dcterms:modified xsi:type="dcterms:W3CDTF">2024-02-27T06:39:00Z</dcterms:modified>
</cp:coreProperties>
</file>