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Final task - RNA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Analyze RNA-seq samples prepared with QuantSeq 3’ mRNA-Seq Library Prep Kit from human cell-line. There are 3 replicates of wildtype samples and 3 replicates of VeR treated samples. Raw reads in fastq format are provided for all 6 sequenced samples. Ligated UMIs were removed from the reads and written to the reads headers.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The goal is to identify genes with statistically significant expression changes.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The expected deliverables are: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40c28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Table with a list of differential expressed genes (can be a resulting DEseq table)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37415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MultiQC report in html format summarizing pre- and post-alignment QC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40c28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6"/>
          <w:szCs w:val="26"/>
          <w:rtl w:val="0"/>
        </w:rPr>
        <w:t xml:space="preserve">A workflow that can reproduce these results with a single command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