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658C" w:rsidTr="009A658C">
        <w:trPr>
          <w:trHeight w:val="1134"/>
        </w:trPr>
        <w:tc>
          <w:tcPr>
            <w:tcW w:w="4606" w:type="dxa"/>
          </w:tcPr>
          <w:p w:rsidR="009A658C" w:rsidRPr="009A658C" w:rsidRDefault="009A658C" w:rsidP="009A658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Jméno a UČO:</w:t>
            </w:r>
          </w:p>
        </w:tc>
        <w:tc>
          <w:tcPr>
            <w:tcW w:w="4606" w:type="dxa"/>
          </w:tcPr>
          <w:p w:rsidR="009A658C" w:rsidRPr="009A658C" w:rsidRDefault="009A658C" w:rsidP="009A658C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Datum:</w:t>
            </w:r>
          </w:p>
        </w:tc>
      </w:tr>
    </w:tbl>
    <w:p w:rsidR="009A658C" w:rsidRDefault="009A658C" w:rsidP="009A658C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</w:p>
    <w:p w:rsidR="009A658C" w:rsidRDefault="009A658C" w:rsidP="009A658C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>
        <w:rPr>
          <w:rFonts w:asciiTheme="minorHAnsi" w:hAnsiTheme="minorHAnsi"/>
          <w:b/>
          <w:sz w:val="44"/>
          <w:szCs w:val="44"/>
          <w:lang w:val="cs-CZ"/>
        </w:rPr>
        <w:t xml:space="preserve">Identifikace jednotlivých druhů </w:t>
      </w:r>
    </w:p>
    <w:p w:rsidR="009A658C" w:rsidRDefault="009A658C" w:rsidP="009A658C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>
        <w:rPr>
          <w:rFonts w:asciiTheme="minorHAnsi" w:hAnsiTheme="minorHAnsi"/>
          <w:b/>
          <w:sz w:val="44"/>
          <w:szCs w:val="44"/>
          <w:lang w:val="cs-CZ"/>
        </w:rPr>
        <w:t>Václavek ze vzorku půdy</w:t>
      </w: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TEORETICKÝ ÚVOD</w:t>
      </w: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V současné době je na světě rozlišováno přes 40 druhů václavek (rod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Armillaria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), které se vyskytují na všech kontinentech s výjimkou Antarktidy. Poprvé byl rod václavka identifikován v 18. století, ale až v roce 1973 objevení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bifaktoriálního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sexuálního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inkompatibilitního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systému umožnilo spolehlivě identifikovat jednotlivé druhy václavek. V Evropě bylo do současnosti identifikováno sedm druhů václavek,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Armillaria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borealis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cepistipes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ectypa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gallica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mellea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ostoyae</w:t>
      </w:r>
      <w:proofErr w:type="spellEnd"/>
      <w:r>
        <w:rPr>
          <w:rFonts w:asciiTheme="minorHAnsi" w:hAnsiTheme="minorHAnsi"/>
          <w:i/>
          <w:sz w:val="24"/>
          <w:szCs w:val="24"/>
          <w:lang w:val="cs-CZ"/>
        </w:rPr>
        <w:t xml:space="preserve"> a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tabescens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[2]. Václavky se vyskytují téměř na všech druzích porostů, mezi něž patří především listnaté a jehličnaté lesy, ovocné sady a parky. Výskyt jednotlivých druhů je omezen jednak klimatickými a geografickými podmínkami a na druhé straně výskytem vhodných hostitelů [2]. Václavky se v lese podílejí na rozkladu odumřelé dřevní hmoty, čímž v mnohém připomínají chování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mykorhizních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hub. V mnoha případech však přechází k 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nekrotrofnímu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parazitizmu, resp.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saproparazitizmu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, na celé škále dřevin, především pak na smrku, borovici a dubu. Byly však pozorovány i na nahosemenných a krytosemenných rostlinách, na celé řadě bylin, na obilninách nebo na okrasných rostlinách. Každoročně pak způsobují obrovské škody na lesních porostech [1,2].</w:t>
      </w: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Některé druhy mohou být obligátními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saprotrofy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, avšak všechny druhy jsou schopné napadat stresem oslabené hostitele. Některé druhy dále produkují antibiotické látky, které jim pomáhají udržet kontrolu nad infikovaným hostitelem [2]. Jednotlivé druhy václavek se liší jednak svou patogenitou a také spektrem napadaných hostitelů.  Proto je z hlediska lesního hospodářství velmi důležité odlišovat od sebe jednotlivé druhy.</w:t>
      </w:r>
    </w:p>
    <w:p w:rsidR="009A658C" w:rsidRDefault="00746C2E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V současné době jsou k </w:t>
      </w:r>
      <w:r w:rsidR="009A658C">
        <w:rPr>
          <w:rFonts w:asciiTheme="minorHAnsi" w:hAnsiTheme="minorHAnsi"/>
          <w:sz w:val="24"/>
          <w:szCs w:val="24"/>
          <w:lang w:val="cs-CZ"/>
        </w:rPr>
        <w:t xml:space="preserve">identifikaci jednotlivých druhů václavek </w:t>
      </w:r>
      <w:r>
        <w:rPr>
          <w:rFonts w:asciiTheme="minorHAnsi" w:hAnsiTheme="minorHAnsi"/>
          <w:sz w:val="24"/>
          <w:szCs w:val="24"/>
          <w:lang w:val="cs-CZ"/>
        </w:rPr>
        <w:t xml:space="preserve">nejvíce používané párové testy </w:t>
      </w:r>
      <w:r w:rsidR="009A658C">
        <w:rPr>
          <w:rFonts w:asciiTheme="minorHAnsi" w:hAnsiTheme="minorHAnsi"/>
          <w:sz w:val="24"/>
          <w:szCs w:val="24"/>
          <w:lang w:val="cs-CZ"/>
        </w:rPr>
        <w:t xml:space="preserve">objevené </w:t>
      </w:r>
      <w:proofErr w:type="spellStart"/>
      <w:r w:rsidR="009A658C">
        <w:rPr>
          <w:rFonts w:asciiTheme="minorHAnsi" w:hAnsiTheme="minorHAnsi"/>
          <w:sz w:val="24"/>
          <w:szCs w:val="24"/>
          <w:lang w:val="cs-CZ"/>
        </w:rPr>
        <w:t>Hinkitou</w:t>
      </w:r>
      <w:proofErr w:type="spellEnd"/>
      <w:r w:rsidR="009A658C">
        <w:rPr>
          <w:rFonts w:asciiTheme="minorHAnsi" w:hAnsiTheme="minorHAnsi"/>
          <w:sz w:val="24"/>
          <w:szCs w:val="24"/>
          <w:lang w:val="cs-CZ"/>
        </w:rPr>
        <w:t xml:space="preserve"> v  roce 1973, avšak v poslední době se k identifikaci začínají používat molekulárně–biologické metody, mezi něž především analýza restrikčních fragmentů ribozomální DNA. </w:t>
      </w:r>
      <w:bookmarkStart w:id="0" w:name="_GoBack"/>
      <w:bookmarkEnd w:id="0"/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i/>
          <w:sz w:val="24"/>
          <w:szCs w:val="24"/>
          <w:u w:val="single"/>
          <w:lang w:val="cs-CZ"/>
        </w:rPr>
      </w:pPr>
      <w:r>
        <w:rPr>
          <w:rFonts w:asciiTheme="minorHAnsi" w:hAnsiTheme="minorHAnsi"/>
          <w:i/>
          <w:sz w:val="24"/>
          <w:szCs w:val="24"/>
          <w:u w:val="single"/>
          <w:lang w:val="cs-CZ"/>
        </w:rPr>
        <w:t>Restrikční analýza.</w:t>
      </w:r>
    </w:p>
    <w:p w:rsidR="009A658C" w:rsidRDefault="009A658C" w:rsidP="009A658C">
      <w:pPr>
        <w:jc w:val="both"/>
        <w:rPr>
          <w:rFonts w:asciiTheme="minorHAnsi" w:hAnsiTheme="minorHAnsi"/>
          <w:i/>
          <w:sz w:val="24"/>
          <w:szCs w:val="24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Restrikční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endonukleasy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jsou enzymy, které ro</w:t>
      </w:r>
      <w:r w:rsidR="00746C2E">
        <w:rPr>
          <w:rFonts w:asciiTheme="minorHAnsi" w:hAnsiTheme="minorHAnsi"/>
          <w:sz w:val="24"/>
          <w:szCs w:val="24"/>
          <w:lang w:val="cs-CZ"/>
        </w:rPr>
        <w:t xml:space="preserve">zpoznávají ve dvoušroubovicové </w:t>
      </w:r>
      <w:r>
        <w:rPr>
          <w:rFonts w:asciiTheme="minorHAnsi" w:hAnsiTheme="minorHAnsi"/>
          <w:sz w:val="24"/>
          <w:szCs w:val="24"/>
          <w:lang w:val="cs-CZ"/>
        </w:rPr>
        <w:t xml:space="preserve">DNA specifickou sekvenci složenou obvykle ze 4 až 6 párů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bazí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v tomto místě DNA specificky štěpí. Většina rozpoznávaných sekvencí restrikčními enzymy má dokonalou dvojčetnou rotační symetrii. Tyto sekvence jsou známy jako tzv. palindromy. Celá řada restrikčních enzymů (např.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Hinf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I,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Mbo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I) katalyzuje štěpení dvou vláken DNA v polohách symetricky rozmístěných okolo středu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palindromové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sekvence. Vznikají tak fragmenty s kohezními či </w:t>
      </w:r>
      <w:r>
        <w:rPr>
          <w:rFonts w:asciiTheme="minorHAnsi" w:hAnsiTheme="minorHAnsi"/>
          <w:sz w:val="24"/>
          <w:szCs w:val="24"/>
          <w:lang w:val="cs-CZ"/>
        </w:rPr>
        <w:lastRenderedPageBreak/>
        <w:t xml:space="preserve">lepivými konci. U některých restrikčních enzymů (Alu I) naopak místo štěpení prochází přímo dvojčetnou osou palindromu. Vznikají pak fragmenty se zarovnanými či tupými konci [18]. </w:t>
      </w: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Polymorfie délky restrikčních fragmentů (RFLP) poté poskytuje cenné informace o rozdílech mezi sekvencemi u jednotlivých druhů organizmů a je v současné době jednou z nejpoužívanějších metod v taxonomii a fylogenezi.</w:t>
      </w: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i/>
          <w:sz w:val="24"/>
          <w:szCs w:val="24"/>
          <w:u w:val="single"/>
          <w:lang w:val="cs-CZ"/>
        </w:rPr>
      </w:pPr>
      <w:r>
        <w:rPr>
          <w:rFonts w:asciiTheme="minorHAnsi" w:hAnsiTheme="minorHAnsi"/>
          <w:i/>
          <w:sz w:val="24"/>
          <w:szCs w:val="24"/>
          <w:u w:val="single"/>
          <w:lang w:val="cs-CZ"/>
        </w:rPr>
        <w:t>Identifikace na základě ribozomální RNA</w:t>
      </w: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Geny kódující ribozomální RNA jsou z hlediska taxonomického a fylogenetického velmi často používané. ITS oblast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je velmi polymorfní, čímž se stává pro taxonomické a fylogenetické studie velmi výhodnou. Tato oblast leží mezi malou jadernou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velkou jadernou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je 5.8S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rozdělena na oblasti ITS 1 a ITS 2 [3].  Pro amplifikaci této oblasti u hub byly navrženy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ITS 1 a ITS 4 (obrázek 1).</w:t>
      </w: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C0A0F45" wp14:editId="68F89CB6">
            <wp:simplePos x="0" y="0"/>
            <wp:positionH relativeFrom="column">
              <wp:posOffset>809625</wp:posOffset>
            </wp:positionH>
            <wp:positionV relativeFrom="paragraph">
              <wp:posOffset>116840</wp:posOffset>
            </wp:positionV>
            <wp:extent cx="3962400" cy="8001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Obrázek 1: Umístění ITS oblasti 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ITS 1, ITS 4, ARM1 a ARM2 na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[3]</w:t>
      </w: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i/>
          <w:sz w:val="24"/>
          <w:szCs w:val="24"/>
          <w:u w:val="single"/>
          <w:lang w:val="cs-CZ"/>
        </w:rPr>
      </w:pPr>
      <w:r>
        <w:rPr>
          <w:rFonts w:asciiTheme="minorHAnsi" w:hAnsiTheme="minorHAnsi"/>
          <w:i/>
          <w:sz w:val="24"/>
          <w:szCs w:val="24"/>
          <w:u w:val="single"/>
          <w:lang w:val="cs-CZ"/>
        </w:rPr>
        <w:t>Detekce václavek na základě RFLP analýzy ITS oblasti</w:t>
      </w: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Pro specifikou detekci václavek poté byly navrženy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ARM1 a ARM2 ležící na okrajích oblastí ITS1 a ITS2 (obrázek 1). Tyto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se používají pro specifickou amplifikaci všech sedmi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evropkých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druhů václavek. Pro dosažení velmi vysoké citlivosti metody pro identifikaci václavek se vzorků půdy se využívá tzv.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nested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PCR, při které dochází k amplifikaci požadované oblasti pomocí dvou párů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. První pár, tzv. externí, se většinou vyznačuje nižší specifitou a slouží k před-množení požadované oblasti. Druhý pár, tzv. interní, je poté vysoce specifický a používá se k namnožení požadované oblasti z již před-množeného vzorku. Při identifikaci václavek ze vzorků půdy lze využit jako externí pár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ITS1 a ITS4 a jako interní pár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ARM1 a ARM2.</w:t>
      </w:r>
    </w:p>
    <w:p w:rsidR="009A658C" w:rsidRDefault="009A658C" w:rsidP="009A658C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Pro určení konkrétního druhu václavky se poté využívá RFLP analýza oblasti namnožené pomocí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ARM1 a ARM2 využívající restrikční endonukleázy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Hinf</w:t>
      </w:r>
      <w:r>
        <w:rPr>
          <w:rFonts w:asciiTheme="minorHAnsi" w:hAnsiTheme="minorHAnsi"/>
          <w:sz w:val="24"/>
          <w:szCs w:val="24"/>
          <w:lang w:val="cs-CZ"/>
        </w:rPr>
        <w:t>I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</w:t>
      </w:r>
      <w:proofErr w:type="spellStart"/>
      <w:r>
        <w:rPr>
          <w:rFonts w:asciiTheme="minorHAnsi" w:hAnsiTheme="minorHAnsi"/>
          <w:i/>
          <w:sz w:val="24"/>
          <w:szCs w:val="24"/>
          <w:lang w:val="cs-CZ"/>
        </w:rPr>
        <w:t>Alu</w:t>
      </w:r>
      <w:r>
        <w:rPr>
          <w:rFonts w:asciiTheme="minorHAnsi" w:hAnsiTheme="minorHAnsi"/>
          <w:sz w:val="24"/>
          <w:szCs w:val="24"/>
          <w:lang w:val="cs-CZ"/>
        </w:rPr>
        <w:t>I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Délky restrikčních fragmentů pro jednotlivé druhy václavek jsou uvedeny v tabulce níže.</w:t>
      </w:r>
    </w:p>
    <w:p w:rsidR="009A658C" w:rsidRDefault="009A658C" w:rsidP="009A658C">
      <w:pPr>
        <w:spacing w:after="200" w:line="276" w:lineRule="auto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br w:type="page"/>
      </w:r>
    </w:p>
    <w:tbl>
      <w:tblPr>
        <w:tblW w:w="93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070"/>
        <w:gridCol w:w="2492"/>
        <w:gridCol w:w="2329"/>
      </w:tblGrid>
      <w:tr w:rsidR="009A658C" w:rsidTr="000F5612">
        <w:trPr>
          <w:trHeight w:val="510"/>
          <w:jc w:val="center"/>
        </w:trPr>
        <w:tc>
          <w:tcPr>
            <w:tcW w:w="24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I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zolát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 xml:space="preserve">Délka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amplikonu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bp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 xml:space="preserve"> </w:t>
            </w:r>
          </w:p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ITS/AR 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Restrikční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fragment</w:t>
            </w: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y</w:t>
            </w:r>
          </w:p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Hinf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bp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Restrikční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fragment</w:t>
            </w:r>
            <w:r>
              <w:rPr>
                <w:rFonts w:asciiTheme="minorHAnsi" w:hAnsiTheme="minorHAnsi"/>
                <w:bCs/>
                <w:sz w:val="22"/>
                <w:szCs w:val="22"/>
                <w:lang w:val="cs-CZ"/>
              </w:rPr>
              <w:t>y</w:t>
            </w:r>
          </w:p>
          <w:p w:rsidR="009A658C" w:rsidRDefault="009A658C" w:rsidP="000F5612">
            <w:pPr>
              <w:ind w:firstLine="105"/>
              <w:rPr>
                <w:rFonts w:asciiTheme="minorHAnsi" w:hAnsiTheme="minorHAnsi"/>
                <w:b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Alu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bp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borealis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A1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868/711 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293, 172, 56, 31, 75, 68 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41, 97, 180, 222, 323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cepistipes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204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868/711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293, 227, 43, 132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41, 97, 180, 222, 323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gallica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147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b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868/711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294, 227, 43, 63, 69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41, 97, 180, 222, 323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mellea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184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b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882/724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148, 159, 401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40, 47, 97, 149, 214, 325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ostoyae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C2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870/713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294, 228, 31, 75, 69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41, 97, 180, 222, 323</w:t>
            </w:r>
          </w:p>
        </w:tc>
      </w:tr>
      <w:tr w:rsidR="009A658C" w:rsidTr="000F5612">
        <w:trPr>
          <w:trHeight w:val="170"/>
          <w:jc w:val="center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tabescens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T3</w:t>
            </w:r>
            <w:r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847/690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658C" w:rsidRDefault="009A658C" w:rsidP="000F5612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295, 125, 93, 32, 129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58C" w:rsidRDefault="009A658C" w:rsidP="000F5612">
            <w:pPr>
              <w:ind w:firstLine="10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35, 70, 96, 138, 181, 327</w:t>
            </w:r>
          </w:p>
        </w:tc>
      </w:tr>
    </w:tbl>
    <w:p w:rsidR="009A658C" w:rsidRDefault="009A658C" w:rsidP="009A658C">
      <w:pPr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t>Literatura</w:t>
      </w:r>
    </w:p>
    <w:p w:rsidR="009A658C" w:rsidRDefault="009A658C" w:rsidP="009A658C">
      <w:pPr>
        <w:pStyle w:val="Bezmezer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1.</w:t>
      </w:r>
      <w:r>
        <w:rPr>
          <w:rFonts w:asciiTheme="minorHAnsi" w:hAnsiTheme="minorHAnsi"/>
          <w:lang w:val="cs-CZ"/>
        </w:rPr>
        <w:tab/>
        <w:t>Jankovský L. 1997. Biologie Václavek, Dizertační práce MZLU, Brno.</w:t>
      </w:r>
    </w:p>
    <w:p w:rsidR="009A658C" w:rsidRDefault="009A658C" w:rsidP="009A658C">
      <w:pPr>
        <w:pStyle w:val="Bezmezer"/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2.</w:t>
      </w:r>
      <w:r>
        <w:rPr>
          <w:rFonts w:asciiTheme="minorHAnsi" w:hAnsiTheme="minorHAnsi"/>
          <w:lang w:val="cs-CZ"/>
        </w:rPr>
        <w:tab/>
        <w:t xml:space="preserve">Shaw </w:t>
      </w:r>
      <w:proofErr w:type="gramStart"/>
      <w:r>
        <w:rPr>
          <w:rFonts w:asciiTheme="minorHAnsi" w:hAnsiTheme="minorHAnsi"/>
          <w:lang w:val="cs-CZ"/>
        </w:rPr>
        <w:t>C.G., Kile</w:t>
      </w:r>
      <w:proofErr w:type="gramEnd"/>
      <w:r>
        <w:rPr>
          <w:rFonts w:asciiTheme="minorHAnsi" w:hAnsiTheme="minorHAnsi"/>
          <w:lang w:val="cs-CZ"/>
        </w:rPr>
        <w:t xml:space="preserve">, G.A. 1991. </w:t>
      </w:r>
      <w:proofErr w:type="spellStart"/>
      <w:r>
        <w:rPr>
          <w:rFonts w:asciiTheme="minorHAnsi" w:hAnsiTheme="minorHAnsi"/>
          <w:lang w:val="cs-CZ"/>
        </w:rPr>
        <w:t>Armillaria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Root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Disease</w:t>
      </w:r>
      <w:proofErr w:type="spellEnd"/>
      <w:r>
        <w:rPr>
          <w:rFonts w:asciiTheme="minorHAnsi" w:hAnsiTheme="minorHAnsi"/>
          <w:lang w:val="cs-CZ"/>
        </w:rPr>
        <w:t xml:space="preserve">, </w:t>
      </w:r>
      <w:proofErr w:type="spellStart"/>
      <w:r>
        <w:rPr>
          <w:rFonts w:asciiTheme="minorHAnsi" w:hAnsiTheme="minorHAnsi"/>
          <w:lang w:val="cs-CZ"/>
        </w:rPr>
        <w:t>Agriculture</w:t>
      </w:r>
      <w:proofErr w:type="spellEnd"/>
      <w:r>
        <w:rPr>
          <w:rFonts w:asciiTheme="minorHAnsi" w:hAnsiTheme="minorHAnsi"/>
          <w:lang w:val="cs-CZ"/>
        </w:rPr>
        <w:t xml:space="preserve"> Handbook 691, Department </w:t>
      </w:r>
      <w:proofErr w:type="spellStart"/>
      <w:r>
        <w:rPr>
          <w:rFonts w:asciiTheme="minorHAnsi" w:hAnsiTheme="minorHAnsi"/>
          <w:lang w:val="cs-CZ"/>
        </w:rPr>
        <w:t>of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Agriculture</w:t>
      </w:r>
      <w:proofErr w:type="spellEnd"/>
      <w:r>
        <w:rPr>
          <w:rFonts w:asciiTheme="minorHAnsi" w:hAnsiTheme="minorHAnsi"/>
          <w:lang w:val="cs-CZ"/>
        </w:rPr>
        <w:t xml:space="preserve">. </w:t>
      </w:r>
      <w:proofErr w:type="gramStart"/>
      <w:r>
        <w:rPr>
          <w:rFonts w:asciiTheme="minorHAnsi" w:hAnsiTheme="minorHAnsi"/>
          <w:lang w:val="cs-CZ"/>
        </w:rPr>
        <w:t>Washington D.C.</w:t>
      </w:r>
      <w:proofErr w:type="gramEnd"/>
      <w:r>
        <w:rPr>
          <w:rFonts w:asciiTheme="minorHAnsi" w:hAnsiTheme="minorHAnsi"/>
          <w:lang w:val="cs-CZ"/>
        </w:rPr>
        <w:t xml:space="preserve">, United </w:t>
      </w:r>
      <w:proofErr w:type="spellStart"/>
      <w:r>
        <w:rPr>
          <w:rFonts w:asciiTheme="minorHAnsi" w:hAnsiTheme="minorHAnsi"/>
          <w:lang w:val="cs-CZ"/>
        </w:rPr>
        <w:t>States</w:t>
      </w:r>
      <w:proofErr w:type="spellEnd"/>
    </w:p>
    <w:p w:rsidR="009A658C" w:rsidRDefault="009A658C" w:rsidP="009A658C">
      <w:pPr>
        <w:pStyle w:val="Bezmezer"/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3.</w:t>
      </w:r>
      <w:r>
        <w:rPr>
          <w:rFonts w:asciiTheme="minorHAnsi" w:hAnsiTheme="minorHAnsi"/>
          <w:lang w:val="cs-CZ"/>
        </w:rPr>
        <w:tab/>
      </w:r>
      <w:proofErr w:type="spellStart"/>
      <w:r>
        <w:rPr>
          <w:rFonts w:asciiTheme="minorHAnsi" w:hAnsiTheme="minorHAnsi"/>
          <w:lang w:val="cs-CZ"/>
        </w:rPr>
        <w:t>White</w:t>
      </w:r>
      <w:proofErr w:type="spellEnd"/>
      <w:r>
        <w:rPr>
          <w:rFonts w:asciiTheme="minorHAnsi" w:hAnsiTheme="minorHAnsi"/>
          <w:lang w:val="cs-CZ"/>
        </w:rPr>
        <w:t xml:space="preserve">, </w:t>
      </w:r>
      <w:proofErr w:type="gramStart"/>
      <w:r>
        <w:rPr>
          <w:rFonts w:asciiTheme="minorHAnsi" w:hAnsiTheme="minorHAnsi"/>
          <w:lang w:val="cs-CZ"/>
        </w:rPr>
        <w:t>T.J.</w:t>
      </w:r>
      <w:proofErr w:type="gramEnd"/>
      <w:r>
        <w:rPr>
          <w:rFonts w:asciiTheme="minorHAnsi" w:hAnsiTheme="minorHAnsi"/>
          <w:lang w:val="cs-CZ"/>
        </w:rPr>
        <w:t xml:space="preserve">, </w:t>
      </w:r>
      <w:proofErr w:type="spellStart"/>
      <w:r>
        <w:rPr>
          <w:rFonts w:asciiTheme="minorHAnsi" w:hAnsiTheme="minorHAnsi"/>
          <w:lang w:val="cs-CZ"/>
        </w:rPr>
        <w:t>Bruns</w:t>
      </w:r>
      <w:proofErr w:type="spellEnd"/>
      <w:r>
        <w:rPr>
          <w:rFonts w:asciiTheme="minorHAnsi" w:hAnsiTheme="minorHAnsi"/>
          <w:lang w:val="cs-CZ"/>
        </w:rPr>
        <w:t xml:space="preserve">, T., </w:t>
      </w:r>
      <w:proofErr w:type="spellStart"/>
      <w:r>
        <w:rPr>
          <w:rFonts w:asciiTheme="minorHAnsi" w:hAnsiTheme="minorHAnsi"/>
          <w:lang w:val="cs-CZ"/>
        </w:rPr>
        <w:t>Lee</w:t>
      </w:r>
      <w:proofErr w:type="spellEnd"/>
      <w:r>
        <w:rPr>
          <w:rFonts w:asciiTheme="minorHAnsi" w:hAnsiTheme="minorHAnsi"/>
          <w:lang w:val="cs-CZ"/>
        </w:rPr>
        <w:t xml:space="preserve">, S., </w:t>
      </w:r>
      <w:proofErr w:type="spellStart"/>
      <w:r>
        <w:rPr>
          <w:rFonts w:asciiTheme="minorHAnsi" w:hAnsiTheme="minorHAnsi"/>
          <w:lang w:val="cs-CZ"/>
        </w:rPr>
        <w:t>Taylor</w:t>
      </w:r>
      <w:proofErr w:type="spellEnd"/>
      <w:r>
        <w:rPr>
          <w:rFonts w:asciiTheme="minorHAnsi" w:hAnsiTheme="minorHAnsi"/>
          <w:lang w:val="cs-CZ"/>
        </w:rPr>
        <w:t xml:space="preserve">, J. 1990. </w:t>
      </w:r>
      <w:proofErr w:type="spellStart"/>
      <w:r>
        <w:rPr>
          <w:rFonts w:asciiTheme="minorHAnsi" w:hAnsiTheme="minorHAnsi"/>
          <w:lang w:val="cs-CZ"/>
        </w:rPr>
        <w:t>Amplification</w:t>
      </w:r>
      <w:proofErr w:type="spellEnd"/>
      <w:r>
        <w:rPr>
          <w:rFonts w:asciiTheme="minorHAnsi" w:hAnsiTheme="minorHAnsi"/>
          <w:lang w:val="cs-CZ"/>
        </w:rPr>
        <w:t xml:space="preserve"> and direct </w:t>
      </w:r>
      <w:proofErr w:type="spellStart"/>
      <w:r>
        <w:rPr>
          <w:rFonts w:asciiTheme="minorHAnsi" w:hAnsiTheme="minorHAnsi"/>
          <w:lang w:val="cs-CZ"/>
        </w:rPr>
        <w:t>sequencing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of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fungal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ribosomal</w:t>
      </w:r>
      <w:proofErr w:type="spellEnd"/>
      <w:r>
        <w:rPr>
          <w:rFonts w:asciiTheme="minorHAnsi" w:hAnsiTheme="minorHAnsi"/>
          <w:lang w:val="cs-CZ"/>
        </w:rPr>
        <w:t xml:space="preserve"> RNA </w:t>
      </w:r>
      <w:proofErr w:type="spellStart"/>
      <w:r>
        <w:rPr>
          <w:rFonts w:asciiTheme="minorHAnsi" w:hAnsiTheme="minorHAnsi"/>
          <w:lang w:val="cs-CZ"/>
        </w:rPr>
        <w:t>genes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for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phylogenetics</w:t>
      </w:r>
      <w:proofErr w:type="spellEnd"/>
      <w:r>
        <w:rPr>
          <w:rFonts w:asciiTheme="minorHAnsi" w:hAnsiTheme="minorHAnsi"/>
          <w:lang w:val="cs-CZ"/>
        </w:rPr>
        <w:t xml:space="preserve">. PCR </w:t>
      </w:r>
      <w:proofErr w:type="spellStart"/>
      <w:r>
        <w:rPr>
          <w:rFonts w:asciiTheme="minorHAnsi" w:hAnsiTheme="minorHAnsi"/>
          <w:lang w:val="cs-CZ"/>
        </w:rPr>
        <w:t>Protocols</w:t>
      </w:r>
      <w:proofErr w:type="spellEnd"/>
      <w:r>
        <w:rPr>
          <w:rFonts w:asciiTheme="minorHAnsi" w:hAnsiTheme="minorHAnsi"/>
          <w:lang w:val="cs-CZ"/>
        </w:rPr>
        <w:t xml:space="preserve">: A </w:t>
      </w:r>
      <w:proofErr w:type="spellStart"/>
      <w:r>
        <w:rPr>
          <w:rFonts w:asciiTheme="minorHAnsi" w:hAnsiTheme="minorHAnsi"/>
          <w:lang w:val="cs-CZ"/>
        </w:rPr>
        <w:t>Guide</w:t>
      </w:r>
      <w:proofErr w:type="spellEnd"/>
      <w:r>
        <w:rPr>
          <w:rFonts w:asciiTheme="minorHAnsi" w:hAnsiTheme="minorHAnsi"/>
          <w:lang w:val="cs-CZ"/>
        </w:rPr>
        <w:t xml:space="preserve"> to </w:t>
      </w:r>
      <w:proofErr w:type="spellStart"/>
      <w:r>
        <w:rPr>
          <w:rFonts w:asciiTheme="minorHAnsi" w:hAnsiTheme="minorHAnsi"/>
          <w:lang w:val="cs-CZ"/>
        </w:rPr>
        <w:t>Methods</w:t>
      </w:r>
      <w:proofErr w:type="spellEnd"/>
      <w:r>
        <w:rPr>
          <w:rFonts w:asciiTheme="minorHAnsi" w:hAnsiTheme="minorHAnsi"/>
          <w:lang w:val="cs-CZ"/>
        </w:rPr>
        <w:t xml:space="preserve"> and </w:t>
      </w:r>
      <w:proofErr w:type="spellStart"/>
      <w:r>
        <w:rPr>
          <w:rFonts w:asciiTheme="minorHAnsi" w:hAnsiTheme="minorHAnsi"/>
          <w:lang w:val="cs-CZ"/>
        </w:rPr>
        <w:t>Aplications</w:t>
      </w:r>
      <w:proofErr w:type="spellEnd"/>
      <w:r>
        <w:rPr>
          <w:rFonts w:asciiTheme="minorHAnsi" w:hAnsiTheme="minorHAnsi"/>
          <w:lang w:val="cs-CZ"/>
        </w:rPr>
        <w:t xml:space="preserve">: 315-322, </w:t>
      </w:r>
      <w:proofErr w:type="spellStart"/>
      <w:r>
        <w:rPr>
          <w:rFonts w:asciiTheme="minorHAnsi" w:hAnsiTheme="minorHAnsi"/>
          <w:lang w:val="cs-CZ"/>
        </w:rPr>
        <w:t>Academic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Press</w:t>
      </w:r>
      <w:proofErr w:type="spellEnd"/>
      <w:r>
        <w:rPr>
          <w:rFonts w:asciiTheme="minorHAnsi" w:hAnsiTheme="minorHAnsi"/>
          <w:lang w:val="cs-CZ"/>
        </w:rPr>
        <w:t>, Inc.</w:t>
      </w: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br w:type="page"/>
      </w:r>
    </w:p>
    <w:p w:rsidR="009A658C" w:rsidRDefault="009A658C" w:rsidP="009A658C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lastRenderedPageBreak/>
        <w:t>POSTUP PRÁCE</w:t>
      </w: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9A658C" w:rsidRDefault="009A658C" w:rsidP="009A658C">
      <w:pPr>
        <w:jc w:val="both"/>
        <w:rPr>
          <w:rFonts w:asciiTheme="minorHAnsi" w:hAnsiTheme="minorHAnsi" w:cs="Arial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Izolace DNA z půdy pomocí izolačního </w:t>
      </w:r>
      <w:proofErr w:type="spellStart"/>
      <w:r>
        <w:rPr>
          <w:rFonts w:asciiTheme="minorHAnsi" w:hAnsiTheme="minorHAnsi"/>
          <w:sz w:val="24"/>
          <w:szCs w:val="24"/>
          <w:u w:val="single"/>
          <w:lang w:val="cs-CZ"/>
        </w:rPr>
        <w:t>kitu</w:t>
      </w:r>
      <w:proofErr w:type="spellEnd"/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  <w:lang w:val="cs-CZ"/>
        </w:rPr>
        <w:t>PowerSoil</w:t>
      </w:r>
      <w:proofErr w:type="spellEnd"/>
      <w:r>
        <w:rPr>
          <w:rFonts w:asciiTheme="minorHAnsi" w:hAnsiTheme="minorHAnsi" w:cs="Arial"/>
          <w:b/>
          <w:sz w:val="24"/>
          <w:szCs w:val="24"/>
          <w:u w:val="single"/>
          <w:lang w:val="cs-CZ"/>
        </w:rPr>
        <w:t xml:space="preserve"> DNA</w:t>
      </w:r>
    </w:p>
    <w:p w:rsidR="009A658C" w:rsidRDefault="009A658C" w:rsidP="009A658C">
      <w:pPr>
        <w:jc w:val="both"/>
        <w:rPr>
          <w:rFonts w:asciiTheme="minorHAnsi" w:hAnsiTheme="minorHAnsi" w:cs="Arial"/>
          <w:b/>
          <w:sz w:val="24"/>
          <w:szCs w:val="24"/>
          <w:lang w:val="cs-CZ"/>
        </w:rPr>
      </w:pPr>
    </w:p>
    <w:p w:rsidR="009A658C" w:rsidRDefault="009A658C" w:rsidP="009A658C">
      <w:pPr>
        <w:ind w:left="360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Do třecí misky navažte přibližně 250 mg vzorku půdy a rozetřete s trochou mořského písku a směs přeneste d</w:t>
      </w:r>
      <w:r>
        <w:rPr>
          <w:rFonts w:ascii="Calibri" w:hAnsi="Calibri"/>
          <w:sz w:val="24"/>
          <w:szCs w:val="24"/>
          <w:lang w:val="cs-CZ"/>
        </w:rPr>
        <w:t>o připravených rozbíjecích zkumavek</w:t>
      </w:r>
      <w:r>
        <w:rPr>
          <w:rFonts w:asciiTheme="minorHAnsi" w:hAnsiTheme="minorHAnsi"/>
          <w:sz w:val="24"/>
          <w:szCs w:val="24"/>
          <w:lang w:val="cs-CZ"/>
        </w:rPr>
        <w:t xml:space="preserve">. </w:t>
      </w:r>
      <w:r>
        <w:rPr>
          <w:rFonts w:ascii="Calibri" w:hAnsi="Calibri"/>
          <w:sz w:val="24"/>
          <w:szCs w:val="24"/>
          <w:lang w:val="cs-CZ"/>
        </w:rPr>
        <w:t xml:space="preserve">Promíchejte opatrným </w:t>
      </w:r>
      <w:proofErr w:type="spellStart"/>
      <w:r>
        <w:rPr>
          <w:rFonts w:ascii="Calibri" w:hAnsi="Calibri"/>
          <w:sz w:val="24"/>
          <w:szCs w:val="24"/>
          <w:lang w:val="cs-CZ"/>
        </w:rPr>
        <w:t>vortexováním</w:t>
      </w:r>
      <w:proofErr w:type="spellEnd"/>
      <w:r>
        <w:rPr>
          <w:rFonts w:ascii="Calibri" w:hAnsi="Calibri"/>
          <w:sz w:val="24"/>
          <w:szCs w:val="24"/>
          <w:lang w:val="cs-CZ"/>
        </w:rPr>
        <w:t>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Přidejte 60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roztoku C1 a několikrát promíchejte obracením zkumavky nebo </w:t>
      </w:r>
      <w:proofErr w:type="spellStart"/>
      <w:r>
        <w:rPr>
          <w:rFonts w:ascii="Calibri" w:hAnsi="Calibri"/>
          <w:sz w:val="24"/>
          <w:szCs w:val="24"/>
          <w:lang w:val="cs-CZ"/>
        </w:rPr>
        <w:t>vortexujte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.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 xml:space="preserve">Umístěte rozbíjecí zkumavky vodorovně a  </w:t>
      </w:r>
      <w:proofErr w:type="spellStart"/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>vortexujte</w:t>
      </w:r>
      <w:proofErr w:type="spellEnd"/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 xml:space="preserve"> </w:t>
      </w:r>
      <w:r>
        <w:rPr>
          <w:rFonts w:ascii="Calibri" w:hAnsi="Calibri"/>
          <w:color w:val="000000"/>
          <w:spacing w:val="-4"/>
          <w:sz w:val="24"/>
          <w:szCs w:val="24"/>
          <w:lang w:val="cs-CZ"/>
        </w:rPr>
        <w:t>maximální rychlostí 10 minut</w:t>
      </w:r>
      <w:r>
        <w:rPr>
          <w:rFonts w:ascii="Calibri" w:hAnsi="Calibri"/>
          <w:sz w:val="24"/>
          <w:szCs w:val="24"/>
          <w:lang w:val="cs-CZ"/>
        </w:rPr>
        <w:t>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Centrifugujte 30 sekund při 10 000 x g.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Přeneste </w:t>
      </w:r>
      <w:proofErr w:type="spellStart"/>
      <w:r>
        <w:rPr>
          <w:rFonts w:ascii="Calibri" w:hAnsi="Calibri"/>
          <w:sz w:val="24"/>
          <w:szCs w:val="24"/>
          <w:lang w:val="cs-CZ"/>
        </w:rPr>
        <w:t>supernatant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do čisté 2 ml </w:t>
      </w:r>
      <w:proofErr w:type="spellStart"/>
      <w:r>
        <w:rPr>
          <w:rFonts w:ascii="Calibri" w:hAnsi="Calibri"/>
          <w:sz w:val="24"/>
          <w:szCs w:val="24"/>
          <w:lang w:val="cs-CZ"/>
        </w:rPr>
        <w:t>mikrozkumavky</w:t>
      </w:r>
      <w:proofErr w:type="spellEnd"/>
      <w:r>
        <w:rPr>
          <w:rFonts w:ascii="Calibri" w:hAnsi="Calibri"/>
          <w:sz w:val="24"/>
          <w:szCs w:val="24"/>
          <w:lang w:val="cs-CZ"/>
        </w:rPr>
        <w:t>.</w:t>
      </w:r>
    </w:p>
    <w:p w:rsidR="009A658C" w:rsidRDefault="009A658C" w:rsidP="009A658C">
      <w:pPr>
        <w:ind w:left="360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Poznámka</w:t>
      </w:r>
      <w:r>
        <w:rPr>
          <w:rFonts w:ascii="Calibri" w:hAnsi="Calibri"/>
          <w:sz w:val="24"/>
          <w:szCs w:val="24"/>
          <w:lang w:val="cs-CZ"/>
        </w:rPr>
        <w:t xml:space="preserve">: Očekávejte 400 až 500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>l směsi. Směs může stále obsahovat určité množství půdních částic.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Přidejte 250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roztoku C2 a </w:t>
      </w:r>
      <w:proofErr w:type="spellStart"/>
      <w:r>
        <w:rPr>
          <w:rFonts w:ascii="Calibri" w:hAnsi="Calibri"/>
          <w:sz w:val="24"/>
          <w:szCs w:val="24"/>
          <w:lang w:val="cs-CZ"/>
        </w:rPr>
        <w:t>vortexujte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 5 sekund. Inkubujte 5 minut při 4</w:t>
      </w:r>
      <w:r>
        <w:rPr>
          <w:rFonts w:ascii="Calibri" w:hAnsi="Calibri"/>
          <w:sz w:val="24"/>
          <w:szCs w:val="24"/>
          <w:lang w:val="cs-CZ"/>
        </w:rPr>
        <w:sym w:font="Symbol" w:char="F0B0"/>
      </w:r>
      <w:r>
        <w:rPr>
          <w:rFonts w:ascii="Calibri" w:hAnsi="Calibri"/>
          <w:sz w:val="24"/>
          <w:szCs w:val="24"/>
          <w:lang w:val="cs-CZ"/>
        </w:rPr>
        <w:t>C.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Centrifugujte 1 minutu při pokojové teplotě a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</w:t>
      </w:r>
      <w:r>
        <w:rPr>
          <w:rFonts w:ascii="Calibri" w:hAnsi="Calibri"/>
          <w:sz w:val="24"/>
          <w:szCs w:val="24"/>
          <w:lang w:val="cs-CZ"/>
        </w:rPr>
        <w:t xml:space="preserve">řeneste do čisté 2 ml </w:t>
      </w:r>
      <w:proofErr w:type="spellStart"/>
      <w:r>
        <w:rPr>
          <w:rFonts w:ascii="Calibri" w:hAnsi="Calibri"/>
          <w:sz w:val="24"/>
          <w:szCs w:val="24"/>
          <w:lang w:val="cs-CZ"/>
        </w:rPr>
        <w:t>mikrozkumavky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(přiložena) maximálně 600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</w:t>
      </w:r>
      <w:proofErr w:type="spellStart"/>
      <w:r>
        <w:rPr>
          <w:rFonts w:ascii="Calibri" w:hAnsi="Calibri"/>
          <w:sz w:val="24"/>
          <w:szCs w:val="24"/>
          <w:lang w:val="cs-CZ"/>
        </w:rPr>
        <w:t>supernatantu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. 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Přidejte 200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roztoku C3 a krátce </w:t>
      </w:r>
      <w:proofErr w:type="spellStart"/>
      <w:r>
        <w:rPr>
          <w:rFonts w:ascii="Calibri" w:hAnsi="Calibri"/>
          <w:sz w:val="24"/>
          <w:szCs w:val="24"/>
          <w:lang w:val="cs-CZ"/>
        </w:rPr>
        <w:t>vortexujte</w:t>
      </w:r>
      <w:proofErr w:type="spellEnd"/>
      <w:r>
        <w:rPr>
          <w:rFonts w:ascii="Calibri" w:hAnsi="Calibri"/>
          <w:sz w:val="24"/>
          <w:szCs w:val="24"/>
          <w:lang w:val="cs-CZ"/>
        </w:rPr>
        <w:t>.  Inkubujte 5 minut při 4</w:t>
      </w:r>
      <w:r>
        <w:rPr>
          <w:rFonts w:ascii="Calibri" w:hAnsi="Calibri"/>
          <w:sz w:val="24"/>
          <w:szCs w:val="24"/>
          <w:lang w:val="cs-CZ"/>
        </w:rPr>
        <w:sym w:font="Symbol" w:char="F0B0"/>
      </w:r>
      <w:r>
        <w:rPr>
          <w:rFonts w:ascii="Calibri" w:hAnsi="Calibri"/>
          <w:sz w:val="24"/>
          <w:szCs w:val="24"/>
          <w:lang w:val="cs-CZ"/>
        </w:rPr>
        <w:t>C.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Centrifugujte 1 minutu při pokojové teplotě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</w:t>
      </w:r>
      <w:r>
        <w:rPr>
          <w:rFonts w:ascii="Calibri" w:hAnsi="Calibri"/>
          <w:sz w:val="24"/>
          <w:szCs w:val="24"/>
          <w:lang w:val="cs-CZ"/>
        </w:rPr>
        <w:t xml:space="preserve">řeneste do čisté 2 ml </w:t>
      </w:r>
      <w:proofErr w:type="spellStart"/>
      <w:r>
        <w:rPr>
          <w:rFonts w:ascii="Calibri" w:hAnsi="Calibri"/>
          <w:sz w:val="24"/>
          <w:szCs w:val="24"/>
          <w:lang w:val="cs-CZ"/>
        </w:rPr>
        <w:t>mikrozkumavky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(přiložena) maximálně 750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</w:t>
      </w:r>
      <w:proofErr w:type="spellStart"/>
      <w:r>
        <w:rPr>
          <w:rFonts w:ascii="Calibri" w:hAnsi="Calibri"/>
          <w:sz w:val="24"/>
          <w:szCs w:val="24"/>
          <w:lang w:val="cs-CZ"/>
        </w:rPr>
        <w:t>supernatantu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. 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Přidejte 1200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 xml:space="preserve">l roztoku  C4 a </w:t>
      </w:r>
      <w:proofErr w:type="spellStart"/>
      <w:r>
        <w:rPr>
          <w:rFonts w:ascii="Calibri" w:hAnsi="Calibri"/>
          <w:sz w:val="24"/>
          <w:szCs w:val="24"/>
          <w:lang w:val="cs-CZ"/>
        </w:rPr>
        <w:t>vortexujte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5 sekund.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Přeneste přibližně 675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>l do kolonky a centrifugujte 1 minutu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 xml:space="preserve"> při pokojové teplotě. Vylijte přefiltrovanou kapalinu a přidejte dalších 675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>l směsi do kolonky a centrifugujte 1 minutu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 xml:space="preserve"> při pokojové teplotě. Přidejte do kolonky zbytek směsi a centrifugujte 1 minutu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 xml:space="preserve"> při pokojové teplotě.</w:t>
      </w:r>
    </w:p>
    <w:p w:rsidR="009A658C" w:rsidRDefault="009A658C" w:rsidP="009A658C">
      <w:pPr>
        <w:ind w:firstLine="360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Poznámka:</w:t>
      </w:r>
      <w:r>
        <w:rPr>
          <w:rFonts w:ascii="Calibri" w:hAnsi="Calibri"/>
          <w:sz w:val="24"/>
          <w:szCs w:val="24"/>
          <w:lang w:val="cs-CZ"/>
        </w:rPr>
        <w:t xml:space="preserve"> Každý vzorek je nutné rozdělit na tři dávky.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Přidejte 500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>l roztoku C5 a centrifugujte 30 sekund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 xml:space="preserve"> při pokojové teplotě. 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Vylijte p</w:t>
      </w:r>
      <w:r>
        <w:rPr>
          <w:rFonts w:asciiTheme="minorHAnsi" w:hAnsiTheme="minorHAnsi"/>
          <w:sz w:val="24"/>
          <w:szCs w:val="24"/>
          <w:lang w:val="cs-CZ"/>
        </w:rPr>
        <w:t>roteklou</w:t>
      </w:r>
      <w:r>
        <w:rPr>
          <w:rFonts w:ascii="Calibri" w:hAnsi="Calibri"/>
          <w:sz w:val="24"/>
          <w:szCs w:val="24"/>
          <w:lang w:val="cs-CZ"/>
        </w:rPr>
        <w:t xml:space="preserve"> kapalinu.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Centrifugujte znovu 1 minutu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 xml:space="preserve"> při pokojové teplotě.</w:t>
      </w:r>
    </w:p>
    <w:p w:rsidR="009A658C" w:rsidRDefault="009A658C" w:rsidP="009A658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Opatrně přeneste kolonku do čisté 2 ml </w:t>
      </w:r>
      <w:proofErr w:type="spellStart"/>
      <w:r>
        <w:rPr>
          <w:rFonts w:ascii="Calibri" w:hAnsi="Calibri"/>
          <w:sz w:val="24"/>
          <w:szCs w:val="24"/>
          <w:lang w:val="cs-CZ"/>
        </w:rPr>
        <w:t>mikrozkumavky</w:t>
      </w:r>
      <w:proofErr w:type="spellEnd"/>
      <w:r>
        <w:rPr>
          <w:rFonts w:ascii="Calibri" w:hAnsi="Calibri"/>
          <w:sz w:val="24"/>
          <w:szCs w:val="24"/>
          <w:lang w:val="cs-CZ"/>
        </w:rPr>
        <w:t xml:space="preserve"> (přiložena). </w:t>
      </w:r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 xml:space="preserve">Zabraňte potřísnění kolonky </w:t>
      </w:r>
      <w:r>
        <w:rPr>
          <w:rFonts w:ascii="Calibri" w:hAnsi="Calibri"/>
          <w:color w:val="000000"/>
          <w:spacing w:val="-4"/>
          <w:sz w:val="24"/>
          <w:szCs w:val="24"/>
          <w:lang w:val="cs-CZ"/>
        </w:rPr>
        <w:t>roztokem C5.</w:t>
      </w:r>
    </w:p>
    <w:p w:rsidR="009A658C" w:rsidRDefault="009A658C" w:rsidP="009A658C">
      <w:pPr>
        <w:numPr>
          <w:ilvl w:val="0"/>
          <w:numId w:val="1"/>
        </w:numPr>
        <w:ind w:right="36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Theme="minorHAnsi" w:hAnsiTheme="minorHAnsi"/>
          <w:color w:val="000000"/>
          <w:spacing w:val="-5"/>
          <w:sz w:val="24"/>
          <w:szCs w:val="24"/>
          <w:lang w:val="cs-CZ"/>
        </w:rPr>
        <w:t>Přidejte 80</w:t>
      </w:r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 xml:space="preserve"> </w:t>
      </w:r>
      <w:r>
        <w:rPr>
          <w:rFonts w:ascii="Calibri" w:hAnsi="Calibri"/>
          <w:sz w:val="24"/>
          <w:szCs w:val="24"/>
          <w:lang w:val="cs-CZ"/>
        </w:rPr>
        <w:sym w:font="Symbol" w:char="F06D"/>
      </w:r>
      <w:r>
        <w:rPr>
          <w:rFonts w:ascii="Calibri" w:hAnsi="Calibri"/>
          <w:sz w:val="24"/>
          <w:szCs w:val="24"/>
          <w:lang w:val="cs-CZ"/>
        </w:rPr>
        <w:t>l r</w:t>
      </w:r>
      <w:r>
        <w:rPr>
          <w:rFonts w:ascii="Calibri" w:hAnsi="Calibri"/>
          <w:color w:val="000000"/>
          <w:spacing w:val="-5"/>
          <w:sz w:val="24"/>
          <w:szCs w:val="24"/>
          <w:lang w:val="cs-CZ"/>
        </w:rPr>
        <w:t>oztoku C6 doprostřed bílé membrány uvnitř kolonky</w:t>
      </w:r>
      <w:r>
        <w:rPr>
          <w:rFonts w:asciiTheme="minorHAnsi" w:hAnsiTheme="minorHAnsi"/>
          <w:color w:val="000000"/>
          <w:spacing w:val="-5"/>
          <w:sz w:val="24"/>
          <w:szCs w:val="24"/>
          <w:lang w:val="cs-CZ"/>
        </w:rPr>
        <w:t xml:space="preserve"> a c</w:t>
      </w:r>
      <w:r>
        <w:rPr>
          <w:rFonts w:ascii="Calibri" w:hAnsi="Calibri"/>
          <w:sz w:val="24"/>
          <w:szCs w:val="24"/>
          <w:lang w:val="cs-CZ"/>
        </w:rPr>
        <w:t>entrifugujte 30 sekund při pokojové teplotě při 10 000 x</w:t>
      </w:r>
      <w:r>
        <w:rPr>
          <w:rFonts w:ascii="Calibri" w:hAnsi="Calibri"/>
          <w:i/>
          <w:sz w:val="24"/>
          <w:szCs w:val="24"/>
          <w:lang w:val="cs-CZ"/>
        </w:rPr>
        <w:t xml:space="preserve"> g</w:t>
      </w:r>
      <w:r>
        <w:rPr>
          <w:rFonts w:ascii="Calibri" w:hAnsi="Calibri"/>
          <w:sz w:val="24"/>
          <w:szCs w:val="24"/>
          <w:lang w:val="cs-CZ"/>
        </w:rPr>
        <w:t>.</w:t>
      </w:r>
    </w:p>
    <w:p w:rsidR="009A658C" w:rsidRDefault="009A658C" w:rsidP="009A658C">
      <w:pPr>
        <w:numPr>
          <w:ilvl w:val="0"/>
          <w:numId w:val="1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Vyjměte kolonku. DNA ve zkumavce je nyní připravena pro </w:t>
      </w:r>
      <w:r>
        <w:rPr>
          <w:rFonts w:asciiTheme="minorHAnsi" w:hAnsiTheme="minorHAnsi"/>
          <w:sz w:val="24"/>
          <w:szCs w:val="24"/>
          <w:lang w:val="cs-CZ"/>
        </w:rPr>
        <w:t>další použití</w:t>
      </w:r>
      <w:r>
        <w:rPr>
          <w:rFonts w:ascii="Calibri" w:hAnsi="Calibri"/>
          <w:sz w:val="24"/>
          <w:szCs w:val="24"/>
          <w:lang w:val="cs-CZ"/>
        </w:rPr>
        <w:t xml:space="preserve">. </w:t>
      </w:r>
    </w:p>
    <w:p w:rsidR="009A658C" w:rsidRDefault="009A658C" w:rsidP="009A658C">
      <w:pPr>
        <w:ind w:right="36"/>
        <w:jc w:val="both"/>
        <w:rPr>
          <w:sz w:val="22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Měření čistoty izolované DNA pomocí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  <w:lang w:val="cs-CZ"/>
        </w:rPr>
        <w:t>Nano</w:t>
      </w:r>
      <w:proofErr w:type="spellEnd"/>
      <w:r>
        <w:rPr>
          <w:rFonts w:asciiTheme="minorHAnsi" w:hAnsiTheme="minorHAnsi"/>
          <w:b/>
          <w:sz w:val="24"/>
          <w:szCs w:val="24"/>
          <w:u w:val="single"/>
          <w:lang w:val="cs-CZ"/>
        </w:rPr>
        <w:t>-fotometru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fotometru nastavte měření koncentrace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dsDNA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.</w:t>
      </w: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čočku měřící kyvety nepipetujte 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 PCR vody a zakryjte vrškem s faktorem 10.</w:t>
      </w: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Zmáčkněte tlačítko pro měření Blanku (BLANK).</w:t>
      </w: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Čočku a vršek otřete tampónem a poté na čočku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 vzorku DNA.</w:t>
      </w: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Zakryjte čočku vrškem s faktorem 10 a zmáčkněte tlačítko pro měření vzorku (SAMPLE)</w:t>
      </w:r>
      <w:r>
        <w:rPr>
          <w:rFonts w:asciiTheme="minorHAnsi" w:hAnsiTheme="minorHAnsi"/>
          <w:sz w:val="24"/>
          <w:szCs w:val="24"/>
          <w:lang w:val="cs-CZ"/>
        </w:rPr>
        <w:t>.</w:t>
      </w:r>
      <w:r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9A658C" w:rsidRDefault="009A658C" w:rsidP="009A658C">
      <w:pPr>
        <w:pStyle w:val="Odstavecseseznamem"/>
        <w:numPr>
          <w:ilvl w:val="0"/>
          <w:numId w:val="2"/>
        </w:numPr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Vytisknete hodnoty čistoty A</w:t>
      </w:r>
      <w:r>
        <w:rPr>
          <w:rFonts w:asciiTheme="minorHAnsi" w:hAnsiTheme="minorHAnsi"/>
          <w:sz w:val="24"/>
          <w:szCs w:val="24"/>
          <w:vertAlign w:val="subscript"/>
          <w:lang w:val="cs-CZ"/>
        </w:rPr>
        <w:t>260/280</w:t>
      </w:r>
      <w:r>
        <w:rPr>
          <w:rFonts w:asciiTheme="minorHAnsi" w:hAnsiTheme="minorHAnsi"/>
          <w:sz w:val="24"/>
          <w:szCs w:val="24"/>
          <w:lang w:val="cs-CZ"/>
        </w:rPr>
        <w:t>, A</w:t>
      </w:r>
      <w:r>
        <w:rPr>
          <w:rFonts w:asciiTheme="minorHAnsi" w:hAnsiTheme="minorHAnsi"/>
          <w:sz w:val="24"/>
          <w:szCs w:val="24"/>
          <w:vertAlign w:val="subscript"/>
          <w:lang w:val="cs-CZ"/>
        </w:rPr>
        <w:t>230/260</w:t>
      </w:r>
      <w:r>
        <w:rPr>
          <w:rFonts w:asciiTheme="minorHAnsi" w:hAnsiTheme="minorHAnsi"/>
          <w:sz w:val="24"/>
          <w:szCs w:val="24"/>
          <w:lang w:val="cs-CZ"/>
        </w:rPr>
        <w:t xml:space="preserve"> a naměřené spektrum.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lastRenderedPageBreak/>
        <w:t xml:space="preserve">Příprava </w:t>
      </w:r>
      <w:r>
        <w:rPr>
          <w:rFonts w:asciiTheme="minorHAnsi" w:hAnsiTheme="minorHAnsi"/>
          <w:b/>
          <w:sz w:val="24"/>
          <w:szCs w:val="24"/>
          <w:u w:val="single"/>
          <w:lang w:val="cs-CZ"/>
        </w:rPr>
        <w:t>1. Reakční směsi</w:t>
      </w: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u w:val="single"/>
          <w:lang w:val="cs-CZ"/>
        </w:rPr>
        <w:t>nested</w:t>
      </w:r>
      <w:proofErr w:type="spellEnd"/>
      <w:r>
        <w:rPr>
          <w:rFonts w:asciiTheme="minorHAnsi" w:hAnsiTheme="minorHAnsi"/>
          <w:sz w:val="24"/>
          <w:szCs w:val="24"/>
          <w:u w:val="single"/>
          <w:lang w:val="cs-CZ"/>
        </w:rPr>
        <w:t>-PCR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Připravte reakční směs dle uvedené tabulky do PCR zkumavky: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ITS1 (1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uM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1,5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ITS4 (1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uM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1,5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Kapa 2G Mix 2x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konc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>PCR voda</w:t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  <w:t xml:space="preserve">10 </w:t>
      </w: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>µ</w:t>
      </w:r>
      <w:r>
        <w:rPr>
          <w:rFonts w:asciiTheme="minorHAnsi" w:hAnsiTheme="minorHAnsi"/>
          <w:sz w:val="24"/>
          <w:szCs w:val="24"/>
          <w:u w:val="single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DNA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 xml:space="preserve">  </w:t>
      </w:r>
      <w:r>
        <w:rPr>
          <w:rFonts w:asciiTheme="minorHAnsi" w:hAnsiTheme="minorHAnsi"/>
          <w:sz w:val="24"/>
          <w:szCs w:val="24"/>
          <w:lang w:val="cs-CZ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Reakční směs jemně promíchejte a krátce stočte a vložte do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cycleru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. Na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cycleru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nastavte následující program: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2,5min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95250</wp:posOffset>
                </wp:positionV>
                <wp:extent cx="200025" cy="361950"/>
                <wp:effectExtent l="0" t="0" r="28575" b="1905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88.9pt;margin-top:7.5pt;width:15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" adj="995" strokecolor="black [3213]"/>
            </w:pict>
          </mc:Fallback>
        </mc:AlternateContent>
      </w: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30s</w:t>
      </w:r>
    </w:p>
    <w:p w:rsidR="009A658C" w:rsidRDefault="009A658C" w:rsidP="009A658C">
      <w:pPr>
        <w:tabs>
          <w:tab w:val="left" w:pos="708"/>
          <w:tab w:val="left" w:pos="1416"/>
          <w:tab w:val="left" w:pos="2190"/>
        </w:tabs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55°C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30s</w:t>
      </w:r>
      <w:r>
        <w:rPr>
          <w:rFonts w:asciiTheme="minorHAnsi" w:hAnsiTheme="minorHAnsi"/>
          <w:sz w:val="24"/>
          <w:szCs w:val="24"/>
          <w:lang w:val="cs-CZ"/>
        </w:rPr>
        <w:tab/>
        <w:t>35x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72°C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20s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Příprava </w:t>
      </w:r>
      <w:r>
        <w:rPr>
          <w:rFonts w:asciiTheme="minorHAnsi" w:hAnsiTheme="minorHAnsi"/>
          <w:b/>
          <w:sz w:val="24"/>
          <w:szCs w:val="24"/>
          <w:u w:val="single"/>
          <w:lang w:val="cs-CZ"/>
        </w:rPr>
        <w:t>2. Reakční směsi</w:t>
      </w: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u w:val="single"/>
          <w:lang w:val="cs-CZ"/>
        </w:rPr>
        <w:t>nested</w:t>
      </w:r>
      <w:proofErr w:type="spellEnd"/>
      <w:r>
        <w:rPr>
          <w:rFonts w:asciiTheme="minorHAnsi" w:hAnsiTheme="minorHAnsi"/>
          <w:sz w:val="24"/>
          <w:szCs w:val="24"/>
          <w:u w:val="single"/>
          <w:lang w:val="cs-CZ"/>
        </w:rPr>
        <w:t>-PCR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Připravte reakční směs dle uvedené tabulky do PCR zkumavky: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ARM1 (5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uM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1,5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ARM2 (5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uM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1,5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Kapa 2G Mix 2x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konc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>PCR voda</w:t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</w:r>
      <w:r>
        <w:rPr>
          <w:rFonts w:asciiTheme="minorHAnsi" w:hAnsiTheme="minorHAnsi"/>
          <w:sz w:val="24"/>
          <w:szCs w:val="24"/>
          <w:u w:val="single"/>
          <w:lang w:val="cs-CZ"/>
        </w:rPr>
        <w:tab/>
        <w:t xml:space="preserve">  5 </w:t>
      </w: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>µ</w:t>
      </w:r>
      <w:r>
        <w:rPr>
          <w:rFonts w:asciiTheme="minorHAnsi" w:hAnsiTheme="minorHAnsi"/>
          <w:sz w:val="24"/>
          <w:szCs w:val="24"/>
          <w:u w:val="single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1 PCR reakce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  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Reakční směs jemně promíchejte a krátce stočte a vložte do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cycleru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. Na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cycleru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nastavte následující program: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2,5min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80645</wp:posOffset>
                </wp:positionV>
                <wp:extent cx="152400" cy="409575"/>
                <wp:effectExtent l="0" t="0" r="19050" b="285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957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" o:spid="_x0000_s1026" type="#_x0000_t88" style="position:absolute;margin-left:88.9pt;margin-top:6.35pt;width:12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" adj="670" filled="t" fillcolor="white [3212]" strokecolor="black [3213]"/>
            </w:pict>
          </mc:Fallback>
        </mc:AlternateContent>
      </w: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30s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60°C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30s</w:t>
      </w:r>
      <w:r>
        <w:rPr>
          <w:rFonts w:asciiTheme="minorHAnsi" w:hAnsiTheme="minorHAnsi"/>
          <w:sz w:val="24"/>
          <w:szCs w:val="24"/>
          <w:lang w:val="cs-CZ"/>
        </w:rPr>
        <w:tab/>
        <w:t>40x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72°C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20s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>
      <w:pPr>
        <w:spacing w:after="200" w:line="276" w:lineRule="auto"/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br w:type="page"/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lastRenderedPageBreak/>
        <w:t>Restrikční analýza</w:t>
      </w: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 PCR produktu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Připravte reakční směs dle uvedené tabulky do PCR zkumavky: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PCR reakční směs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16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10 x Reakční pufr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  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Enzym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Hinf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I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  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Reakční směs jemně promíchejte, krátce stočte a inkubujte 1,5h při 37°C.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Analýza Restrikčních fragmentů pomocí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  <w:lang w:val="cs-CZ"/>
        </w:rPr>
        <w:t>agarózové</w:t>
      </w:r>
      <w:proofErr w:type="spellEnd"/>
      <w:r>
        <w:rPr>
          <w:rFonts w:asciiTheme="minorHAnsi" w:hAnsiTheme="minorHAnsi"/>
          <w:b/>
          <w:sz w:val="24"/>
          <w:szCs w:val="24"/>
          <w:u w:val="single"/>
          <w:lang w:val="cs-CZ"/>
        </w:rPr>
        <w:t xml:space="preserve"> elektroforézy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Připravte 2%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agarosový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gel – navažte 0,7 g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agarózy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, přidejte 35 ml 1x TBE pufru 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agarosu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důkladně rozvařte v 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mikrovlné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troubě. Poté zchlaďte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agarosu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na cca. 70°C, přidejte 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ethidium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bromidu, promíchejte a nalijte do připravené vaničky s hřebínkem. Nechte asi 15 minut tuhnout.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Poté vložte nalitý gel do elektroforetické vaničky s cca 200 ml 1x TBE pufru a vyndejte hřebínek. K restrikčním směsím a ke zbytku PCR reakce přidejte 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 Nanášecího pufru. Naneste vzorky na gel v následujícím pořadí: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Délkový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marker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– PCR produkt - RA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HinfI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– RA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AluI</w:t>
      </w:r>
      <w:proofErr w:type="spellEnd"/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 xml:space="preserve">Analýza Restrikčních fragmentů pomocí </w:t>
      </w:r>
      <w:r>
        <w:rPr>
          <w:rFonts w:asciiTheme="minorHAnsi" w:hAnsiTheme="minorHAnsi"/>
          <w:b/>
          <w:sz w:val="24"/>
          <w:szCs w:val="24"/>
          <w:u w:val="single"/>
          <w:lang w:val="cs-CZ"/>
        </w:rPr>
        <w:t>HPLC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Do insertu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15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směsi po restrikční analýze a 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PCR vody. Insert vložte do HPLC přístroje HP 1100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Series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spusťte následující metodu, ve které je použita TSK-gel DEAE NPR kolona a průtok činí 1 ml/min: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3048"/>
      </w:tblGrid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Roztok 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Roztok B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>mM</w:t>
            </w:r>
            <w:proofErr w:type="spellEnd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>Tris-HCl</w:t>
            </w:r>
            <w:proofErr w:type="spellEnd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 (pH = 9.0)</w:t>
            </w:r>
            <w:r>
              <w:rPr>
                <w:rFonts w:asciiTheme="minorHAnsi" w:hAnsiTheme="minorHAnsi"/>
                <w:b w:val="0"/>
                <w:szCs w:val="24"/>
                <w:lang w:val="fr-FR" w:eastAsia="en-US"/>
              </w:rPr>
              <w:t>;</w:t>
            </w:r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 0.8 M </w:t>
            </w:r>
            <w:proofErr w:type="spellStart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>NaCl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>mM</w:t>
            </w:r>
            <w:proofErr w:type="spellEnd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>Tris-HCl</w:t>
            </w:r>
            <w:proofErr w:type="spellEnd"/>
            <w:r>
              <w:rPr>
                <w:rFonts w:asciiTheme="minorHAnsi" w:hAnsiTheme="minorHAnsi"/>
                <w:b w:val="0"/>
                <w:szCs w:val="24"/>
                <w:lang w:eastAsia="en-US"/>
              </w:rPr>
              <w:t xml:space="preserve"> (pH = 9.0)</w:t>
            </w:r>
          </w:p>
        </w:tc>
      </w:tr>
      <w:tr w:rsidR="009A658C" w:rsidTr="000F5612">
        <w:trPr>
          <w:trHeight w:val="34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Gradient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9A658C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i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Cs w:val="24"/>
                <w:lang w:eastAsia="en-US"/>
              </w:rPr>
              <w:t>T (min)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9A658C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i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Cs w:val="24"/>
                <w:lang w:eastAsia="en-US"/>
              </w:rPr>
              <w:t>% B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62.5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0.1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0,11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50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0.11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50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3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35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10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25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10.5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11.5</w:t>
            </w:r>
          </w:p>
          <w:p w:rsidR="009A658C" w:rsidRDefault="009A658C" w:rsidP="000F5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11.51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0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11.70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62.5</w:t>
            </w:r>
          </w:p>
        </w:tc>
      </w:tr>
      <w:tr w:rsidR="009A658C" w:rsidTr="000F5612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14.50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C" w:rsidRDefault="009A658C" w:rsidP="000F5612">
            <w:pPr>
              <w:pStyle w:val="Nadpis7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szCs w:val="24"/>
                <w:lang w:eastAsia="en-US"/>
              </w:rPr>
              <w:t>62.5</w:t>
            </w:r>
          </w:p>
        </w:tc>
      </w:tr>
    </w:tbl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lastRenderedPageBreak/>
        <w:t>Na kolonu nastříkněte 20 µl vzorku.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9A658C" w:rsidRDefault="009A658C" w:rsidP="009A658C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VYHODNOCENÍ</w:t>
      </w:r>
    </w:p>
    <w:p w:rsidR="009A658C" w:rsidRDefault="009A658C" w:rsidP="009A658C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:rsidR="009A658C" w:rsidRDefault="009A658C" w:rsidP="009A658C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Uveďte koncentraci a na základě naměřených dat zhodnoťte čistotu izolované DNA </w:t>
      </w:r>
    </w:p>
    <w:p w:rsidR="009A658C" w:rsidRDefault="009A658C" w:rsidP="009A658C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délky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amplifikátu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výsledku restrikční analýzy určete, jaký druh václavky obsahoval váš vzorek půdy, výsledek zdůvodněte.</w:t>
      </w:r>
    </w:p>
    <w:p w:rsidR="009A658C" w:rsidRDefault="009A658C" w:rsidP="009A658C"/>
    <w:p w:rsidR="00BB1446" w:rsidRDefault="00BB1446"/>
    <w:sectPr w:rsidR="00BB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3E0"/>
    <w:multiLevelType w:val="singleLevel"/>
    <w:tmpl w:val="2F342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163B57"/>
    <w:multiLevelType w:val="hybridMultilevel"/>
    <w:tmpl w:val="00D08810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D4C"/>
    <w:multiLevelType w:val="hybridMultilevel"/>
    <w:tmpl w:val="F7E4B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AS8DBsWsFeuE9PjMOZTDFBbNclI=" w:salt="gPb3m1S8RTHxX6bT/kVS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8C"/>
    <w:rsid w:val="00746C2E"/>
    <w:rsid w:val="009A658C"/>
    <w:rsid w:val="00B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5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unhideWhenUsed/>
    <w:qFormat/>
    <w:rsid w:val="009A658C"/>
    <w:pPr>
      <w:keepNext/>
      <w:spacing w:line="360" w:lineRule="auto"/>
      <w:jc w:val="both"/>
      <w:outlineLvl w:val="6"/>
    </w:pPr>
    <w:rPr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A658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9A65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A658C"/>
    <w:pPr>
      <w:ind w:left="720"/>
      <w:contextualSpacing/>
    </w:pPr>
  </w:style>
  <w:style w:type="table" w:styleId="Mkatabulky">
    <w:name w:val="Table Grid"/>
    <w:basedOn w:val="Normlntabulka"/>
    <w:uiPriority w:val="59"/>
    <w:rsid w:val="009A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5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unhideWhenUsed/>
    <w:qFormat/>
    <w:rsid w:val="009A658C"/>
    <w:pPr>
      <w:keepNext/>
      <w:spacing w:line="360" w:lineRule="auto"/>
      <w:jc w:val="both"/>
      <w:outlineLvl w:val="6"/>
    </w:pPr>
    <w:rPr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A658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9A65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A658C"/>
    <w:pPr>
      <w:ind w:left="720"/>
      <w:contextualSpacing/>
    </w:pPr>
  </w:style>
  <w:style w:type="table" w:styleId="Mkatabulky">
    <w:name w:val="Table Grid"/>
    <w:basedOn w:val="Normlntabulka"/>
    <w:uiPriority w:val="59"/>
    <w:rsid w:val="009A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DAE1-83FF-4700-89E6-5F1E4C5D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1502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Student_3</dc:creator>
  <cp:keywords/>
  <dc:description/>
  <cp:lastModifiedBy>Student_3</cp:lastModifiedBy>
  <cp:revision>1</cp:revision>
  <dcterms:created xsi:type="dcterms:W3CDTF">2012-11-07T13:43:00Z</dcterms:created>
  <dcterms:modified xsi:type="dcterms:W3CDTF">2012-11-07T13:54:00Z</dcterms:modified>
</cp:coreProperties>
</file>