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55" w:rsidRPr="000C4130" w:rsidRDefault="00111E55" w:rsidP="00111E55">
      <w:pPr>
        <w:pStyle w:val="Bezmezer"/>
        <w:ind w:left="6372"/>
        <w:rPr>
          <w:szCs w:val="24"/>
        </w:rPr>
      </w:pPr>
      <w:r w:rsidRPr="000C4130">
        <w:rPr>
          <w:szCs w:val="24"/>
        </w:rPr>
        <w:t>Radim KRCHŇÁČEK, 394136</w:t>
      </w:r>
    </w:p>
    <w:p w:rsidR="00111E55" w:rsidRPr="000C4130" w:rsidRDefault="00111E55" w:rsidP="00111E55">
      <w:pPr>
        <w:pStyle w:val="Bezmezer"/>
        <w:ind w:left="5664" w:firstLine="708"/>
        <w:rPr>
          <w:szCs w:val="24"/>
        </w:rPr>
      </w:pPr>
      <w:r w:rsidRPr="000C4130">
        <w:rPr>
          <w:szCs w:val="24"/>
        </w:rPr>
        <w:t xml:space="preserve">2. </w:t>
      </w:r>
      <w:proofErr w:type="spellStart"/>
      <w:r w:rsidRPr="000C4130">
        <w:rPr>
          <w:szCs w:val="24"/>
        </w:rPr>
        <w:t>roč</w:t>
      </w:r>
      <w:proofErr w:type="spellEnd"/>
      <w:r w:rsidRPr="000C4130">
        <w:rPr>
          <w:szCs w:val="24"/>
        </w:rPr>
        <w:t>., B-GK KART</w:t>
      </w:r>
    </w:p>
    <w:p w:rsidR="00111E55" w:rsidRPr="000C4130" w:rsidRDefault="00111E55" w:rsidP="00111E55">
      <w:pPr>
        <w:pStyle w:val="Bezmezer"/>
        <w:ind w:left="5664" w:firstLine="708"/>
        <w:rPr>
          <w:szCs w:val="24"/>
        </w:rPr>
      </w:pPr>
      <w:r w:rsidRPr="000C4130">
        <w:rPr>
          <w:szCs w:val="24"/>
        </w:rPr>
        <w:t>Brno 2012</w:t>
      </w:r>
    </w:p>
    <w:p w:rsidR="00453E33" w:rsidRDefault="00453E33"/>
    <w:p w:rsidR="00111E55" w:rsidRDefault="00111E55"/>
    <w:p w:rsidR="00111E55" w:rsidRDefault="00111E55" w:rsidP="00A55F7C">
      <w:pPr>
        <w:jc w:val="center"/>
        <w:rPr>
          <w:b/>
          <w:sz w:val="40"/>
          <w:szCs w:val="40"/>
        </w:rPr>
      </w:pPr>
      <w:r w:rsidRPr="00A55F7C">
        <w:rPr>
          <w:b/>
          <w:sz w:val="40"/>
          <w:szCs w:val="40"/>
        </w:rPr>
        <w:t xml:space="preserve">DENNÍ PRŮTOKY </w:t>
      </w:r>
      <w:r w:rsidR="00A55F7C" w:rsidRPr="00A55F7C">
        <w:rPr>
          <w:b/>
          <w:sz w:val="40"/>
          <w:szCs w:val="40"/>
        </w:rPr>
        <w:t>ŘEKY BEROUNKY</w:t>
      </w:r>
      <w:r w:rsidRPr="00A55F7C">
        <w:rPr>
          <w:b/>
          <w:sz w:val="40"/>
          <w:szCs w:val="40"/>
        </w:rPr>
        <w:t xml:space="preserve"> VE STANICI BEROUN </w:t>
      </w:r>
      <w:r w:rsidR="00A55F7C" w:rsidRPr="00A55F7C">
        <w:rPr>
          <w:b/>
          <w:sz w:val="40"/>
          <w:szCs w:val="40"/>
        </w:rPr>
        <w:t>V MĚSÍCI KVĚTNU 2009</w:t>
      </w:r>
    </w:p>
    <w:p w:rsidR="00A55F7C" w:rsidRDefault="00A55F7C" w:rsidP="00A55F7C">
      <w:pPr>
        <w:jc w:val="center"/>
        <w:rPr>
          <w:szCs w:val="24"/>
        </w:rPr>
      </w:pPr>
      <w:r w:rsidRPr="00A55F7C">
        <w:rPr>
          <w:szCs w:val="24"/>
        </w:rPr>
        <w:t>CVIČENÍ 9</w:t>
      </w:r>
    </w:p>
    <w:p w:rsidR="00A55F7C" w:rsidRDefault="00A55F7C" w:rsidP="00A55F7C">
      <w:pPr>
        <w:jc w:val="center"/>
        <w:rPr>
          <w:szCs w:val="24"/>
        </w:rPr>
      </w:pPr>
    </w:p>
    <w:p w:rsidR="00A55F7C" w:rsidRDefault="00A55F7C" w:rsidP="00A55F7C">
      <w:pPr>
        <w:rPr>
          <w:b/>
          <w:szCs w:val="24"/>
        </w:rPr>
      </w:pPr>
      <w:r w:rsidRPr="00A55F7C">
        <w:rPr>
          <w:b/>
          <w:szCs w:val="24"/>
        </w:rPr>
        <w:t>Zadání:</w:t>
      </w:r>
    </w:p>
    <w:p w:rsidR="00A55F7C" w:rsidRDefault="00A55F7C" w:rsidP="00A55F7C">
      <w:pPr>
        <w:pStyle w:val="Bezmezer"/>
      </w:pPr>
      <w:r>
        <w:t>Sestrojte teoretickou a empirickou křivku pravděpodobnosti překročení průměrných hodnot denních průtoků řeky Berounky v měsíci květnu 2009 a klasifikujte vodnatost jednotlivých dní.</w:t>
      </w:r>
    </w:p>
    <w:p w:rsidR="00A55F7C" w:rsidRDefault="00A55F7C" w:rsidP="00A55F7C">
      <w:pPr>
        <w:pStyle w:val="Bezmezer"/>
      </w:pPr>
    </w:p>
    <w:p w:rsidR="00A55F7C" w:rsidRDefault="00A55F7C" w:rsidP="00A55F7C">
      <w:pPr>
        <w:pStyle w:val="Bezmezer"/>
      </w:pPr>
    </w:p>
    <w:p w:rsidR="00A55F7C" w:rsidRDefault="00A55F7C" w:rsidP="00A55F7C">
      <w:pPr>
        <w:pStyle w:val="Bezmezer"/>
        <w:rPr>
          <w:b/>
        </w:rPr>
      </w:pPr>
      <w:r w:rsidRPr="00A55F7C">
        <w:rPr>
          <w:b/>
        </w:rPr>
        <w:t>Vypracování:</w:t>
      </w:r>
    </w:p>
    <w:p w:rsidR="00A55F7C" w:rsidRDefault="00A55F7C" w:rsidP="00A55F7C">
      <w:pPr>
        <w:pStyle w:val="Bezmezer"/>
        <w:rPr>
          <w:b/>
        </w:rPr>
      </w:pPr>
    </w:p>
    <w:p w:rsidR="00A55F7C" w:rsidRDefault="00F164B0" w:rsidP="00A55F7C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16.5pt;margin-top:68.95pt;width:81pt;height:37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">
            <v:imagedata r:id="rId6" o:title=""/>
          </v:shape>
          <o:OLEObject Type="Embed" ProgID="Equation.3" ShapeID="_x0000_s1029" DrawAspect="Content" ObjectID="_1415363591" r:id="rId7"/>
        </w:pict>
      </w:r>
      <w:r w:rsidR="00E072D5">
        <w:rPr>
          <w:noProof/>
          <w:lang w:eastAsia="cs-CZ"/>
        </w:rPr>
        <w:pict>
          <v:shape id="Object 3" o:spid="_x0000_s1027" type="#_x0000_t75" style="position:absolute;margin-left:316.5pt;margin-top:32.4pt;width:86.65pt;height:36.55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">
            <v:imagedata r:id="rId8" o:title=""/>
          </v:shape>
          <o:OLEObject Type="Embed" ProgID="Equation.3" ShapeID="Object 3" DrawAspect="Content" ObjectID="_1415363589" r:id="rId9"/>
        </w:pict>
      </w:r>
      <w:r w:rsidR="00E072D5">
        <w:rPr>
          <w:noProof/>
          <w:lang w:eastAsia="cs-CZ"/>
        </w:rPr>
        <w:pict>
          <v:shape id="Object 5" o:spid="_x0000_s1026" type="#_x0000_t75" style="position:absolute;margin-left:264.65pt;margin-top:8.85pt;width:42.5pt;height:37.7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">
            <v:imagedata r:id="rId10" o:title=""/>
          </v:shape>
          <o:OLEObject Type="Embed" ProgID="Equation.3" ShapeID="Object 5" DrawAspect="Content" ObjectID="_1415363588" r:id="rId11"/>
        </w:pict>
      </w:r>
      <w:r w:rsidR="00A55F7C">
        <w:t xml:space="preserve">Nejprve jsem si v hydrologické ročence vyhledal vybranou řeku a vypsal její průměrné denní průtoky v daném období. Dále jsem si pomocí vzorce </w:t>
      </w:r>
      <w:r w:rsidR="00A55F7C">
        <w:tab/>
      </w:r>
      <w:r w:rsidR="00A55F7C">
        <w:tab/>
        <w:t xml:space="preserve">vypočítal hodnoty </w:t>
      </w:r>
      <w:proofErr w:type="spellStart"/>
      <w:r w:rsidR="00A55F7C">
        <w:t>ki</w:t>
      </w:r>
      <w:proofErr w:type="spellEnd"/>
      <w:r w:rsidR="00A55F7C">
        <w:t>, (</w:t>
      </w:r>
      <w:proofErr w:type="spellStart"/>
      <w:r w:rsidR="00A55F7C">
        <w:t>ki</w:t>
      </w:r>
      <w:proofErr w:type="spellEnd"/>
      <w:r w:rsidR="00A55F7C">
        <w:t>-1)</w:t>
      </w:r>
      <w:r w:rsidR="00A55F7C">
        <w:rPr>
          <w:vertAlign w:val="superscript"/>
        </w:rPr>
        <w:t>2</w:t>
      </w:r>
      <w:r w:rsidR="00A55F7C">
        <w:t xml:space="preserve"> a (</w:t>
      </w:r>
      <w:proofErr w:type="spellStart"/>
      <w:r w:rsidR="00A55F7C">
        <w:t>ki</w:t>
      </w:r>
      <w:proofErr w:type="spellEnd"/>
      <w:r w:rsidR="00A55F7C">
        <w:t>-1)</w:t>
      </w:r>
      <w:r w:rsidR="00A55F7C">
        <w:rPr>
          <w:vertAlign w:val="superscript"/>
        </w:rPr>
        <w:t>3</w:t>
      </w:r>
      <w:r w:rsidR="00A55F7C">
        <w:t xml:space="preserve">, které jsem potřeboval k výpočtu variačního koeficientu </w:t>
      </w:r>
    </w:p>
    <w:p w:rsidR="00F164B0" w:rsidRDefault="00A55F7C" w:rsidP="00A55F7C">
      <w:r>
        <w:t>a</w:t>
      </w:r>
      <w:r w:rsidR="00E072D5">
        <w:t xml:space="preserve"> pomocí něj jsem následně </w:t>
      </w:r>
      <w:r w:rsidR="00F164B0">
        <w:t>dopočítal koeficient asymetrie.:</w:t>
      </w:r>
    </w:p>
    <w:p w:rsidR="00A55F7C" w:rsidRDefault="00F164B0" w:rsidP="00A55F7C">
      <w:r>
        <w:rPr>
          <w:noProof/>
          <w:lang w:eastAsia="cs-CZ"/>
        </w:rPr>
        <w:pict>
          <v:shape id="Object 2" o:spid="_x0000_s1028" type="#_x0000_t75" style="position:absolute;margin-left:132.5pt;margin-top:62.5pt;width:194.3pt;height:39.25pt;z-index:251660288">
            <v:imagedata r:id="rId12" o:title=""/>
          </v:shape>
          <o:OLEObject Type="Embed" ProgID="Equation.3" ShapeID="Object 2" DrawAspect="Content" ObjectID="_1415363590" r:id="rId13"/>
        </w:pict>
      </w:r>
      <w:r w:rsidR="00E072D5">
        <w:t>Další potřebnou hodnotou pro sestrojení křivek byla h</w:t>
      </w:r>
      <w:r>
        <w:t>odnota odchylky pořadnic křivek</w:t>
      </w:r>
      <w:r w:rsidR="00E072D5">
        <w:t xml:space="preserve">, </w:t>
      </w:r>
      <w:proofErr w:type="gramStart"/>
      <w:r w:rsidR="00E072D5">
        <w:t>kterou jsem zjistil</w:t>
      </w:r>
      <w:proofErr w:type="gramEnd"/>
      <w:r w:rsidR="00E072D5">
        <w:t xml:space="preserve"> podle </w:t>
      </w:r>
      <w:proofErr w:type="spellStart"/>
      <w:r w:rsidR="00E072D5">
        <w:t>Foster</w:t>
      </w:r>
      <w:proofErr w:type="spellEnd"/>
      <w:r w:rsidR="00E072D5">
        <w:t xml:space="preserve"> – </w:t>
      </w:r>
      <w:proofErr w:type="spellStart"/>
      <w:r w:rsidR="00E072D5">
        <w:t>Rybkinových</w:t>
      </w:r>
      <w:proofErr w:type="spellEnd"/>
      <w:r w:rsidR="00E072D5">
        <w:t xml:space="preserve"> tabulek. Následně jsem všechny zjištěné hodnoty použil do vzorce</w:t>
      </w:r>
    </w:p>
    <w:p w:rsidR="00E072D5" w:rsidRDefault="00E072D5" w:rsidP="00A55F7C"/>
    <w:p w:rsidR="00E072D5" w:rsidRDefault="00E072D5" w:rsidP="00A55F7C">
      <w:r>
        <w:t xml:space="preserve">pro výpočet teoretického průtoku a ze získaných hodnot vytvořil graf o dvou křivkách, kde na ose x byla pravděpodobnost, že průtok dosáhne nebo překročí hodnotu průtoku (empirického nebo teoretického), který byl vynesen na ose </w:t>
      </w:r>
      <w:proofErr w:type="spellStart"/>
      <w:r>
        <w:t>y</w:t>
      </w:r>
      <w:proofErr w:type="spellEnd"/>
      <w:r>
        <w:t>.</w:t>
      </w:r>
    </w:p>
    <w:p w:rsidR="00E072D5" w:rsidRDefault="00E072D5" w:rsidP="00A55F7C"/>
    <w:p w:rsidR="00E072D5" w:rsidRDefault="00E072D5" w:rsidP="00E072D5">
      <w:pPr>
        <w:pStyle w:val="Titulek"/>
        <w:keepNext/>
      </w:pPr>
      <w:r>
        <w:t xml:space="preserve">Tab. </w:t>
      </w:r>
      <w:fldSimple w:instr=" SEQ Tab._ \* ARABIC ">
        <w:r w:rsidR="00F164B0">
          <w:rPr>
            <w:noProof/>
          </w:rPr>
          <w:t>1</w:t>
        </w:r>
      </w:fldSimple>
      <w:r w:rsidR="00C41DB5">
        <w:t>: Hodnoty potřebné pro konstrukci teoretické a empirické křivky</w:t>
      </w:r>
    </w:p>
    <w:tbl>
      <w:tblPr>
        <w:tblW w:w="10690" w:type="dxa"/>
        <w:tblInd w:w="-804" w:type="dxa"/>
        <w:tblCellMar>
          <w:left w:w="70" w:type="dxa"/>
          <w:right w:w="70" w:type="dxa"/>
        </w:tblCellMar>
        <w:tblLook w:val="04A0"/>
      </w:tblPr>
      <w:tblGrid>
        <w:gridCol w:w="960"/>
        <w:gridCol w:w="1320"/>
        <w:gridCol w:w="1180"/>
        <w:gridCol w:w="960"/>
        <w:gridCol w:w="960"/>
        <w:gridCol w:w="960"/>
        <w:gridCol w:w="960"/>
        <w:gridCol w:w="960"/>
        <w:gridCol w:w="1310"/>
        <w:gridCol w:w="1120"/>
      </w:tblGrid>
      <w:tr w:rsidR="00E072D5" w:rsidRPr="00E072D5" w:rsidTr="00E072D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Pořadí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Den v měsíci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Q [m3.s-1]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proofErr w:type="spellStart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ki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(</w:t>
            </w:r>
            <w:proofErr w:type="spellStart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ki</w:t>
            </w:r>
            <w:proofErr w:type="spellEnd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-1)2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(</w:t>
            </w:r>
            <w:proofErr w:type="spellStart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ki</w:t>
            </w:r>
            <w:proofErr w:type="spellEnd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-1)3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proofErr w:type="spellStart"/>
            <w:proofErr w:type="gramStart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Φs</w:t>
            </w:r>
            <w:proofErr w:type="spellEnd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,p</w:t>
            </w:r>
            <w:proofErr w:type="gramEnd"/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proofErr w:type="spellStart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Qp</w:t>
            </w:r>
            <w:proofErr w:type="spellEnd"/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[m3.s-1]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Vodnatost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2,25965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50,06379394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1,71440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45,96886276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1,44051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43,91195319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1,23083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42,33721594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1,07159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41,14133427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0,91236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39,94546011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0,76917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38,87012339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0,64815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37,96125603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0,54338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37,17436805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0,44503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36,43579268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0,35586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35,76610015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0,26669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35,09640761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0,17841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34,4334141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0,09561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33,81155353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0,01280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33,18970047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-0,07000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32,5678399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-0,14643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31,99384133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-0,22287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31,41976766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-0,29930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30,84576909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-0,38121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30,23061505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-0,46401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29,60877701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0,9247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-0,54682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28,98686387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0,8642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-0,63420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28,33062947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0,8431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-0,72338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27,66087685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-0,81255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26,99119934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-0,92019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26,18280989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-1,04121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25,27393501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0,7766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-1,16223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24,36506013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-1,31127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23,24575165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MS</w:t>
            </w:r>
          </w:p>
        </w:tc>
      </w:tr>
      <w:tr w:rsidR="00E072D5" w:rsidRPr="00E072D5" w:rsidTr="00E072D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-1,49599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21,85848205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MS</w:t>
            </w:r>
          </w:p>
        </w:tc>
      </w:tr>
      <w:tr w:rsidR="00E072D5" w:rsidRPr="00E072D5" w:rsidTr="00E072D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-0,1193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-1,82717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19,37128009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2D5" w:rsidRPr="00E072D5" w:rsidRDefault="00E072D5" w:rsidP="00E07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72D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MS</w:t>
            </w:r>
          </w:p>
        </w:tc>
      </w:tr>
    </w:tbl>
    <w:p w:rsidR="00E072D5" w:rsidRPr="00A55F7C" w:rsidRDefault="00E072D5" w:rsidP="00A55F7C"/>
    <w:p w:rsidR="00A55F7C" w:rsidRDefault="00A55F7C" w:rsidP="00A55F7C">
      <w:pPr>
        <w:pStyle w:val="Bezmezer"/>
      </w:pPr>
    </w:p>
    <w:p w:rsidR="00F164B0" w:rsidRDefault="00F164B0" w:rsidP="00F164B0">
      <w:pPr>
        <w:pStyle w:val="Titulek"/>
        <w:keepNext/>
        <w:jc w:val="center"/>
      </w:pPr>
      <w:r>
        <w:t xml:space="preserve">Tab. </w:t>
      </w:r>
      <w:fldSimple w:instr=" SEQ Tab._ \* ARABIC ">
        <w:r>
          <w:rPr>
            <w:noProof/>
          </w:rPr>
          <w:t>2</w:t>
        </w:r>
      </w:fldSimple>
      <w:r>
        <w:t>: Průměrný denní průtok za měsíc květen, variační koeficient, koeficient asymetrie</w:t>
      </w:r>
    </w:p>
    <w:tbl>
      <w:tblPr>
        <w:tblW w:w="3254" w:type="dxa"/>
        <w:tblInd w:w="2908" w:type="dxa"/>
        <w:tblCellMar>
          <w:left w:w="70" w:type="dxa"/>
          <w:right w:w="70" w:type="dxa"/>
        </w:tblCellMar>
        <w:tblLook w:val="04A0"/>
      </w:tblPr>
      <w:tblGrid>
        <w:gridCol w:w="2278"/>
        <w:gridCol w:w="976"/>
      </w:tblGrid>
      <w:tr w:rsidR="00C41DB5" w:rsidRPr="00C41DB5" w:rsidTr="00F164B0">
        <w:trPr>
          <w:trHeight w:val="300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průměrný průtok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33,09355</w:t>
            </w:r>
          </w:p>
        </w:tc>
      </w:tr>
      <w:tr w:rsidR="00C41DB5" w:rsidRPr="00C41DB5" w:rsidTr="00F164B0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variační koeficient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0,22694</w:t>
            </w:r>
          </w:p>
        </w:tc>
      </w:tr>
      <w:tr w:rsidR="00C41DB5" w:rsidRPr="00C41DB5" w:rsidTr="00F164B0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koeficient asymetrie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DB5" w:rsidRPr="00C41DB5" w:rsidRDefault="00C41DB5" w:rsidP="00C41D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41DB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0,38677</w:t>
            </w:r>
          </w:p>
        </w:tc>
      </w:tr>
    </w:tbl>
    <w:p w:rsidR="00A37476" w:rsidRDefault="00A37476" w:rsidP="00A55F7C">
      <w:pPr>
        <w:pStyle w:val="Bezmezer"/>
      </w:pPr>
    </w:p>
    <w:p w:rsidR="00A37476" w:rsidRDefault="00A37476">
      <w:pPr>
        <w:spacing w:line="276" w:lineRule="auto"/>
      </w:pPr>
      <w:r>
        <w:br w:type="page"/>
      </w:r>
    </w:p>
    <w:p w:rsidR="00A37476" w:rsidRDefault="00A37476" w:rsidP="00A37476">
      <w:pPr>
        <w:pStyle w:val="Bezmezer"/>
        <w:keepNext/>
      </w:pPr>
      <w:r w:rsidRPr="00A37476">
        <w:lastRenderedPageBreak/>
        <w:drawing>
          <wp:inline distT="0" distB="0" distL="0" distR="0">
            <wp:extent cx="5760720" cy="2922619"/>
            <wp:effectExtent l="19050" t="0" r="1143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5F7C" w:rsidRPr="00A55F7C" w:rsidRDefault="00A37476" w:rsidP="00A37476">
      <w:pPr>
        <w:pStyle w:val="Titulek"/>
        <w:jc w:val="center"/>
      </w:pPr>
      <w:r>
        <w:t xml:space="preserve">Obr. </w:t>
      </w:r>
      <w:fldSimple w:instr=" SEQ Obr._ \* ARABIC ">
        <w:r>
          <w:rPr>
            <w:noProof/>
          </w:rPr>
          <w:t>1</w:t>
        </w:r>
      </w:fldSimple>
      <w:r>
        <w:t>: Teoretická a empirická křivka pravděpodobnosti překročení průměrných hodnot denních průtoků řeky Berounky v květnu 2009</w:t>
      </w:r>
    </w:p>
    <w:sectPr w:rsidR="00A55F7C" w:rsidRPr="00A55F7C" w:rsidSect="00453E3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85" w:rsidRDefault="00097B85" w:rsidP="00111E55">
      <w:pPr>
        <w:spacing w:after="0" w:line="240" w:lineRule="auto"/>
      </w:pPr>
      <w:r>
        <w:separator/>
      </w:r>
    </w:p>
  </w:endnote>
  <w:endnote w:type="continuationSeparator" w:id="0">
    <w:p w:rsidR="00097B85" w:rsidRDefault="00097B85" w:rsidP="0011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85" w:rsidRDefault="00097B85" w:rsidP="00111E55">
      <w:pPr>
        <w:spacing w:after="0" w:line="240" w:lineRule="auto"/>
      </w:pPr>
      <w:r>
        <w:separator/>
      </w:r>
    </w:p>
  </w:footnote>
  <w:footnote w:type="continuationSeparator" w:id="0">
    <w:p w:rsidR="00097B85" w:rsidRDefault="00097B85" w:rsidP="0011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55" w:rsidRDefault="00111E55">
    <w:pPr>
      <w:pStyle w:val="Zhlav"/>
    </w:pPr>
    <w:r>
      <w:t>Z0059 Hydrologie (podzim 2012)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E55"/>
    <w:rsid w:val="00097B85"/>
    <w:rsid w:val="00111E55"/>
    <w:rsid w:val="00453E33"/>
    <w:rsid w:val="006A5EF0"/>
    <w:rsid w:val="006C2AB1"/>
    <w:rsid w:val="00A37476"/>
    <w:rsid w:val="00A55F7C"/>
    <w:rsid w:val="00C41DB5"/>
    <w:rsid w:val="00C554B3"/>
    <w:rsid w:val="00E072D5"/>
    <w:rsid w:val="00F1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EF0"/>
    <w:pPr>
      <w:spacing w:line="36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EF0"/>
    <w:pPr>
      <w:keepNext/>
      <w:keepLines/>
      <w:spacing w:before="200" w:after="120"/>
      <w:ind w:left="708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5EF0"/>
    <w:pPr>
      <w:spacing w:after="0" w:line="24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A5EF0"/>
    <w:rPr>
      <w:rFonts w:asciiTheme="majorHAnsi" w:eastAsiaTheme="majorEastAsia" w:hAnsiTheme="majorHAnsi" w:cstheme="majorBidi"/>
      <w:bCs/>
      <w:color w:val="000000" w:themeColor="text1"/>
      <w:sz w:val="28"/>
      <w:szCs w:val="26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1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1E55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11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1E5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E072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im\TRETI%20SEMESTR\Hydra\cviko9\cviceni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tx>
            <c:v>empirická křivka</c:v>
          </c:tx>
          <c:xVal>
            <c:numRef>
              <c:f>List1!$D$2:$D$32</c:f>
              <c:numCache>
                <c:formatCode>0.00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List1!$C$2:$C$32</c:f>
              <c:numCache>
                <c:formatCode>0.0</c:formatCode>
                <c:ptCount val="31"/>
                <c:pt idx="0">
                  <c:v>55</c:v>
                </c:pt>
                <c:pt idx="1">
                  <c:v>44.8</c:v>
                </c:pt>
                <c:pt idx="2">
                  <c:v>44</c:v>
                </c:pt>
                <c:pt idx="3">
                  <c:v>41.8</c:v>
                </c:pt>
                <c:pt idx="4">
                  <c:v>39.6</c:v>
                </c:pt>
                <c:pt idx="5">
                  <c:v>39.5</c:v>
                </c:pt>
                <c:pt idx="6">
                  <c:v>38.4</c:v>
                </c:pt>
                <c:pt idx="7">
                  <c:v>36</c:v>
                </c:pt>
                <c:pt idx="8">
                  <c:v>34.5</c:v>
                </c:pt>
                <c:pt idx="9">
                  <c:v>34.4</c:v>
                </c:pt>
                <c:pt idx="10">
                  <c:v>34.300000000000011</c:v>
                </c:pt>
                <c:pt idx="11">
                  <c:v>34.200000000000003</c:v>
                </c:pt>
                <c:pt idx="12">
                  <c:v>34</c:v>
                </c:pt>
                <c:pt idx="13">
                  <c:v>33.9</c:v>
                </c:pt>
                <c:pt idx="14">
                  <c:v>33.9</c:v>
                </c:pt>
                <c:pt idx="15">
                  <c:v>33.700000000000003</c:v>
                </c:pt>
                <c:pt idx="16">
                  <c:v>33.1</c:v>
                </c:pt>
                <c:pt idx="17">
                  <c:v>32.700000000000003</c:v>
                </c:pt>
                <c:pt idx="18">
                  <c:v>32.6</c:v>
                </c:pt>
                <c:pt idx="19">
                  <c:v>32.6</c:v>
                </c:pt>
                <c:pt idx="20">
                  <c:v>31</c:v>
                </c:pt>
                <c:pt idx="21">
                  <c:v>30.6</c:v>
                </c:pt>
                <c:pt idx="22">
                  <c:v>28.6</c:v>
                </c:pt>
                <c:pt idx="23">
                  <c:v>27.9</c:v>
                </c:pt>
                <c:pt idx="24">
                  <c:v>27.2</c:v>
                </c:pt>
                <c:pt idx="25">
                  <c:v>26.6</c:v>
                </c:pt>
                <c:pt idx="26">
                  <c:v>25.8</c:v>
                </c:pt>
                <c:pt idx="27">
                  <c:v>25.7</c:v>
                </c:pt>
                <c:pt idx="28">
                  <c:v>24.7</c:v>
                </c:pt>
                <c:pt idx="29">
                  <c:v>18</c:v>
                </c:pt>
                <c:pt idx="30">
                  <c:v>16.8</c:v>
                </c:pt>
              </c:numCache>
            </c:numRef>
          </c:yVal>
          <c:smooth val="1"/>
        </c:ser>
        <c:ser>
          <c:idx val="1"/>
          <c:order val="1"/>
          <c:tx>
            <c:v>teoretická křivka</c:v>
          </c:tx>
          <c:marker>
            <c:symbol val="none"/>
          </c:marker>
          <c:xVal>
            <c:numRef>
              <c:f>List1!$D$2:$D$32</c:f>
              <c:numCache>
                <c:formatCode>0.00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List1!$I$2:$I$32</c:f>
              <c:numCache>
                <c:formatCode>General</c:formatCode>
                <c:ptCount val="31"/>
                <c:pt idx="0">
                  <c:v>50.063793939756948</c:v>
                </c:pt>
                <c:pt idx="1">
                  <c:v>45.968862760673574</c:v>
                </c:pt>
                <c:pt idx="2">
                  <c:v>43.911953193621024</c:v>
                </c:pt>
                <c:pt idx="3">
                  <c:v>42.337215943173888</c:v>
                </c:pt>
                <c:pt idx="4">
                  <c:v>41.141334270869152</c:v>
                </c:pt>
                <c:pt idx="5">
                  <c:v>39.945460108685701</c:v>
                </c:pt>
                <c:pt idx="6">
                  <c:v>38.870123393062634</c:v>
                </c:pt>
                <c:pt idx="7">
                  <c:v>37.961256025754707</c:v>
                </c:pt>
                <c:pt idx="8">
                  <c:v>37.174368048293111</c:v>
                </c:pt>
                <c:pt idx="9">
                  <c:v>36.435792681032346</c:v>
                </c:pt>
                <c:pt idx="10">
                  <c:v>35.766100146161115</c:v>
                </c:pt>
                <c:pt idx="11">
                  <c:v>35.096407611289848</c:v>
                </c:pt>
                <c:pt idx="12">
                  <c:v>34.433414104601276</c:v>
                </c:pt>
                <c:pt idx="13">
                  <c:v>33.811553532168858</c:v>
                </c:pt>
                <c:pt idx="14">
                  <c:v>33.189700469857712</c:v>
                </c:pt>
                <c:pt idx="15">
                  <c:v>32.567839897425301</c:v>
                </c:pt>
                <c:pt idx="16">
                  <c:v>31.993841327916833</c:v>
                </c:pt>
                <c:pt idx="17">
                  <c:v>31.419767657195553</c:v>
                </c:pt>
                <c:pt idx="18">
                  <c:v>30.845769087687078</c:v>
                </c:pt>
                <c:pt idx="19">
                  <c:v>30.230615053558616</c:v>
                </c:pt>
                <c:pt idx="20">
                  <c:v>29.608777011490034</c:v>
                </c:pt>
                <c:pt idx="21">
                  <c:v>28.986863868208651</c:v>
                </c:pt>
                <c:pt idx="22">
                  <c:v>28.330629470672992</c:v>
                </c:pt>
                <c:pt idx="23">
                  <c:v>27.6608768548315</c:v>
                </c:pt>
                <c:pt idx="24">
                  <c:v>26.991199340202812</c:v>
                </c:pt>
                <c:pt idx="25">
                  <c:v>26.182809885513667</c:v>
                </c:pt>
                <c:pt idx="26">
                  <c:v>25.273935008084454</c:v>
                </c:pt>
                <c:pt idx="27">
                  <c:v>24.365060130655227</c:v>
                </c:pt>
                <c:pt idx="28">
                  <c:v>23.245751654931791</c:v>
                </c:pt>
                <c:pt idx="29">
                  <c:v>21.858482051901508</c:v>
                </c:pt>
                <c:pt idx="30">
                  <c:v>19.371280086052831</c:v>
                </c:pt>
              </c:numCache>
            </c:numRef>
          </c:yVal>
          <c:smooth val="1"/>
        </c:ser>
        <c:axId val="100358784"/>
        <c:axId val="100368768"/>
      </c:scatterChart>
      <c:valAx>
        <c:axId val="100358784"/>
        <c:scaling>
          <c:orientation val="minMax"/>
          <c:max val="100"/>
        </c:scaling>
        <c:axPos val="b"/>
        <c:numFmt formatCode="0.00" sourceLinked="1"/>
        <c:tickLblPos val="nextTo"/>
        <c:crossAx val="100368768"/>
        <c:crosses val="autoZero"/>
        <c:crossBetween val="midCat"/>
      </c:valAx>
      <c:valAx>
        <c:axId val="100368768"/>
        <c:scaling>
          <c:orientation val="minMax"/>
          <c:min val="15"/>
        </c:scaling>
        <c:axPos val="l"/>
        <c:majorGridlines/>
        <c:numFmt formatCode="0.0" sourceLinked="1"/>
        <c:tickLblPos val="nextTo"/>
        <c:crossAx val="10035878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2</cp:revision>
  <dcterms:created xsi:type="dcterms:W3CDTF">2012-11-25T13:46:00Z</dcterms:created>
  <dcterms:modified xsi:type="dcterms:W3CDTF">2012-11-25T14:46:00Z</dcterms:modified>
</cp:coreProperties>
</file>