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92" w:rsidRPr="009614B6" w:rsidRDefault="00437492" w:rsidP="00437492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614B6">
        <w:rPr>
          <w:rFonts w:asciiTheme="minorHAnsi" w:hAnsiTheme="minorHAnsi" w:cstheme="minorHAnsi"/>
        </w:rPr>
        <w:t>Klára ČÍŽKOVÁ (393876)</w:t>
      </w:r>
    </w:p>
    <w:p w:rsidR="00437492" w:rsidRPr="009614B6" w:rsidRDefault="00437492" w:rsidP="00437492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614B6">
        <w:rPr>
          <w:rFonts w:asciiTheme="minorHAnsi" w:hAnsiTheme="minorHAnsi" w:cstheme="minorHAnsi"/>
        </w:rPr>
        <w:t xml:space="preserve">B-GK GEOG (FG), 2. </w:t>
      </w:r>
      <w:r w:rsidR="00640427">
        <w:rPr>
          <w:rFonts w:asciiTheme="minorHAnsi" w:hAnsiTheme="minorHAnsi" w:cstheme="minorHAnsi"/>
        </w:rPr>
        <w:t>r</w:t>
      </w:r>
      <w:r w:rsidRPr="009614B6">
        <w:rPr>
          <w:rFonts w:asciiTheme="minorHAnsi" w:hAnsiTheme="minorHAnsi" w:cstheme="minorHAnsi"/>
        </w:rPr>
        <w:t>očník</w:t>
      </w:r>
    </w:p>
    <w:p w:rsidR="00437492" w:rsidRPr="009614B6" w:rsidRDefault="00975D8C" w:rsidP="00437492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Brno, </w:t>
      </w:r>
      <w:r w:rsidR="00640427">
        <w:rPr>
          <w:rFonts w:asciiTheme="minorHAnsi" w:hAnsiTheme="minorHAnsi" w:cstheme="minorHAnsi"/>
        </w:rPr>
        <w:t>24. prosince</w:t>
      </w:r>
      <w:r w:rsidR="00437492" w:rsidRPr="009614B6">
        <w:rPr>
          <w:rFonts w:asciiTheme="minorHAnsi" w:hAnsiTheme="minorHAnsi" w:cstheme="minorHAnsi"/>
        </w:rPr>
        <w:t xml:space="preserve"> 2012</w:t>
      </w:r>
    </w:p>
    <w:p w:rsidR="00437492" w:rsidRPr="009614B6" w:rsidRDefault="00437492" w:rsidP="00437492">
      <w:pPr>
        <w:spacing w:before="0" w:beforeAutospacing="0" w:after="0" w:afterAutospacing="0"/>
        <w:jc w:val="right"/>
        <w:rPr>
          <w:rFonts w:asciiTheme="minorHAnsi" w:hAnsiTheme="minorHAnsi" w:cstheme="minorHAnsi"/>
          <w:b/>
          <w:u w:val="single"/>
        </w:rPr>
      </w:pPr>
    </w:p>
    <w:p w:rsidR="00437492" w:rsidRPr="009614B6" w:rsidRDefault="00975D8C" w:rsidP="00437492">
      <w:pPr>
        <w:spacing w:before="0" w:beforeAutospacing="0" w:after="0" w:afterAutospacing="0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 xml:space="preserve">Hydrologie – cvičení </w:t>
      </w:r>
      <w:r w:rsidR="00640427">
        <w:rPr>
          <w:rFonts w:asciiTheme="minorHAnsi" w:hAnsiTheme="minorHAnsi" w:cstheme="minorHAnsi"/>
          <w:b/>
          <w:smallCaps/>
        </w:rPr>
        <w:t>GIS</w:t>
      </w:r>
    </w:p>
    <w:p w:rsidR="009614B6" w:rsidRPr="009614B6" w:rsidRDefault="009614B6" w:rsidP="00437492">
      <w:pPr>
        <w:spacing w:before="0" w:beforeAutospacing="0" w:after="0" w:afterAutospacing="0"/>
        <w:rPr>
          <w:rFonts w:asciiTheme="minorHAnsi" w:hAnsiTheme="minorHAnsi" w:cstheme="minorHAnsi"/>
          <w:b/>
          <w:smallCaps/>
        </w:rPr>
      </w:pPr>
    </w:p>
    <w:p w:rsidR="009A1EAF" w:rsidRDefault="009614B6" w:rsidP="009614B6">
      <w:pPr>
        <w:jc w:val="both"/>
        <w:rPr>
          <w:rFonts w:asciiTheme="minorHAnsi" w:hAnsiTheme="minorHAnsi" w:cstheme="minorHAnsi"/>
        </w:rPr>
      </w:pPr>
      <w:r w:rsidRPr="009614B6">
        <w:rPr>
          <w:rFonts w:asciiTheme="minorHAnsi" w:hAnsiTheme="minorHAnsi" w:cstheme="minorHAnsi"/>
          <w:b/>
        </w:rPr>
        <w:t>Zadání:</w:t>
      </w:r>
      <w:r w:rsidRPr="009614B6">
        <w:rPr>
          <w:rFonts w:asciiTheme="minorHAnsi" w:hAnsiTheme="minorHAnsi" w:cstheme="minorHAnsi"/>
        </w:rPr>
        <w:t xml:space="preserve"> </w:t>
      </w:r>
      <w:r w:rsidR="00545E93">
        <w:rPr>
          <w:rFonts w:asciiTheme="minorHAnsi" w:hAnsiTheme="minorHAnsi" w:cstheme="minorHAnsi"/>
        </w:rPr>
        <w:t>Kvantitativně zhodnoťte laterální pohyby koryta vybrané řeky (eroze, akumulace) ve 2 různých obdobích</w:t>
      </w:r>
      <w:r w:rsidR="00640427">
        <w:rPr>
          <w:rFonts w:asciiTheme="minorHAnsi" w:hAnsiTheme="minorHAnsi" w:cstheme="minorHAnsi"/>
        </w:rPr>
        <w:t xml:space="preserve"> s použitím programu ArcGis</w:t>
      </w:r>
      <w:r w:rsidR="00545E93">
        <w:rPr>
          <w:rFonts w:asciiTheme="minorHAnsi" w:hAnsiTheme="minorHAnsi" w:cstheme="minorHAnsi"/>
        </w:rPr>
        <w:t>.</w:t>
      </w:r>
    </w:p>
    <w:p w:rsidR="009614B6" w:rsidRDefault="009614B6" w:rsidP="009614B6">
      <w:pPr>
        <w:jc w:val="both"/>
        <w:rPr>
          <w:rFonts w:asciiTheme="minorHAnsi" w:hAnsiTheme="minorHAnsi" w:cstheme="minorHAnsi"/>
        </w:rPr>
      </w:pPr>
      <w:r w:rsidRPr="009614B6">
        <w:rPr>
          <w:rFonts w:asciiTheme="minorHAnsi" w:hAnsiTheme="minorHAnsi" w:cstheme="minorHAnsi"/>
          <w:b/>
        </w:rPr>
        <w:t>Vybraná řeka:</w:t>
      </w:r>
      <w:r>
        <w:rPr>
          <w:rFonts w:asciiTheme="minorHAnsi" w:hAnsiTheme="minorHAnsi" w:cstheme="minorHAnsi"/>
        </w:rPr>
        <w:t xml:space="preserve"> </w:t>
      </w:r>
      <w:r w:rsidR="00975D8C">
        <w:rPr>
          <w:rFonts w:asciiTheme="minorHAnsi" w:hAnsiTheme="minorHAnsi" w:cstheme="minorHAnsi"/>
        </w:rPr>
        <w:t>Ain</w:t>
      </w:r>
      <w:r>
        <w:rPr>
          <w:rFonts w:asciiTheme="minorHAnsi" w:hAnsiTheme="minorHAnsi" w:cstheme="minorHAnsi"/>
        </w:rPr>
        <w:t xml:space="preserve"> (Francie)</w:t>
      </w:r>
    </w:p>
    <w:p w:rsidR="00852D83" w:rsidRDefault="00852D83" w:rsidP="00852D83">
      <w:pPr>
        <w:jc w:val="both"/>
      </w:pPr>
      <w:r>
        <w:t>Ain je řeka ve východní Francii, která pramení v pohoří Jura a přibližně 40 km východně od Lyonu se zprava vlévá do řeky Rh</w:t>
      </w:r>
      <w:r>
        <w:rPr>
          <w:lang w:val="en-US"/>
        </w:rPr>
        <w:t>ô</w:t>
      </w:r>
      <w:r>
        <w:t>ny. Celková délka řeky Ain je 190 km, průměrný průtok u ústí je 130 m</w:t>
      </w:r>
      <w:r w:rsidRPr="00307EFA">
        <w:rPr>
          <w:vertAlign w:val="superscript"/>
        </w:rPr>
        <w:t>3</w:t>
      </w:r>
      <w:r>
        <w:t xml:space="preserve"> za sekundu a plocha povodí je 3630 km</w:t>
      </w:r>
      <w:r w:rsidRPr="00307EFA">
        <w:rPr>
          <w:vertAlign w:val="superscript"/>
        </w:rPr>
        <w:t>2</w:t>
      </w:r>
      <w:r>
        <w:t>. Řeka po většinu svého toku volně meandruje a je na ní situováno několik vodních elektráren.</w:t>
      </w:r>
    </w:p>
    <w:p w:rsidR="00852D83" w:rsidRDefault="00852D83" w:rsidP="00852D83">
      <w:pPr>
        <w:jc w:val="both"/>
      </w:pPr>
      <w:r>
        <w:t>Pro účely tohoto cvičení byly vybrány snímky řeky na jejím dolním toku v blízkosti ústí do Rh</w:t>
      </w:r>
      <w:r>
        <w:rPr>
          <w:lang w:val="en-US"/>
        </w:rPr>
        <w:t>ô</w:t>
      </w:r>
      <w:r>
        <w:t>ny z let 2002, 2005 a 2011, na základě kterých byl posouzen laterální pohyb koryta řeky.</w:t>
      </w:r>
    </w:p>
    <w:p w:rsidR="00852D83" w:rsidRDefault="00852D83" w:rsidP="009614B6">
      <w:pPr>
        <w:jc w:val="both"/>
        <w:rPr>
          <w:rFonts w:asciiTheme="minorHAnsi" w:hAnsiTheme="minorHAnsi" w:cstheme="minorHAnsi"/>
        </w:rPr>
      </w:pPr>
    </w:p>
    <w:p w:rsidR="00640427" w:rsidRDefault="00640427" w:rsidP="009614B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eastAsia="cs-CZ"/>
        </w:rPr>
        <w:lastRenderedPageBreak/>
        <w:drawing>
          <wp:inline distT="0" distB="0" distL="0" distR="0">
            <wp:extent cx="5760720" cy="7355996"/>
            <wp:effectExtent l="0" t="0" r="0" b="0"/>
            <wp:docPr id="1" name="Obrázek 1" descr="G:\Moje\Škola blbiny\MUni\3. semestr\Hydrologie\Cvičení 12\akumula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oje\Škola blbiny\MUni\3. semestr\Hydrologie\Cvičení 12\akumulace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83" w:rsidRPr="00852D83" w:rsidRDefault="00852D83" w:rsidP="009614B6">
      <w:pPr>
        <w:jc w:val="both"/>
        <w:rPr>
          <w:rFonts w:asciiTheme="minorHAnsi" w:hAnsiTheme="minorHAnsi" w:cstheme="minorHAnsi"/>
          <w:i/>
        </w:rPr>
      </w:pPr>
      <w:r w:rsidRPr="00852D83">
        <w:rPr>
          <w:rFonts w:asciiTheme="minorHAnsi" w:hAnsiTheme="minorHAnsi" w:cstheme="minorHAnsi"/>
          <w:b/>
          <w:i/>
        </w:rPr>
        <w:t xml:space="preserve">Obrázek č. 1 – </w:t>
      </w:r>
      <w:r w:rsidRPr="00852D83">
        <w:rPr>
          <w:rFonts w:asciiTheme="minorHAnsi" w:hAnsiTheme="minorHAnsi" w:cstheme="minorHAnsi"/>
          <w:i/>
        </w:rPr>
        <w:t>Akumulace koryta řeky Ain v letech 2002 - 2005</w:t>
      </w:r>
    </w:p>
    <w:p w:rsidR="00941D81" w:rsidRDefault="00941D81" w:rsidP="0021781A">
      <w:pPr>
        <w:jc w:val="both"/>
      </w:pPr>
    </w:p>
    <w:p w:rsidR="00852D83" w:rsidRDefault="00852D83" w:rsidP="0021781A">
      <w:pPr>
        <w:jc w:val="both"/>
      </w:pPr>
    </w:p>
    <w:p w:rsidR="00852D83" w:rsidRDefault="00852D83" w:rsidP="0021781A">
      <w:pPr>
        <w:jc w:val="both"/>
      </w:pPr>
      <w:r>
        <w:rPr>
          <w:lang w:eastAsia="cs-CZ"/>
        </w:rPr>
        <w:lastRenderedPageBreak/>
        <w:drawing>
          <wp:inline distT="0" distB="0" distL="0" distR="0">
            <wp:extent cx="5760720" cy="7355996"/>
            <wp:effectExtent l="0" t="0" r="0" b="0"/>
            <wp:docPr id="6" name="Obrázek 6" descr="G:\Moje\Škola blbiny\MUni\3. semestr\Hydrologie\Cvičení 12\eroz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oje\Škola blbiny\MUni\3. semestr\Hydrologie\Cvičení 12\eroze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83" w:rsidRDefault="00852D83" w:rsidP="00852D83">
      <w:pPr>
        <w:jc w:val="both"/>
        <w:rPr>
          <w:rFonts w:asciiTheme="minorHAnsi" w:hAnsiTheme="minorHAnsi" w:cstheme="minorHAnsi"/>
          <w:i/>
        </w:rPr>
      </w:pPr>
      <w:r w:rsidRPr="00852D83">
        <w:rPr>
          <w:rFonts w:asciiTheme="minorHAnsi" w:hAnsiTheme="minorHAnsi" w:cstheme="minorHAnsi"/>
          <w:b/>
          <w:i/>
        </w:rPr>
        <w:t xml:space="preserve">Obrázek č. </w:t>
      </w:r>
      <w:r>
        <w:rPr>
          <w:rFonts w:asciiTheme="minorHAnsi" w:hAnsiTheme="minorHAnsi" w:cstheme="minorHAnsi"/>
          <w:b/>
          <w:i/>
        </w:rPr>
        <w:t>2</w:t>
      </w:r>
      <w:r w:rsidRPr="00852D83">
        <w:rPr>
          <w:rFonts w:asciiTheme="minorHAnsi" w:hAnsiTheme="minorHAnsi" w:cstheme="minorHAnsi"/>
          <w:b/>
          <w:i/>
        </w:rPr>
        <w:t xml:space="preserve"> – </w:t>
      </w:r>
      <w:r>
        <w:rPr>
          <w:rFonts w:asciiTheme="minorHAnsi" w:hAnsiTheme="minorHAnsi" w:cstheme="minorHAnsi"/>
          <w:i/>
        </w:rPr>
        <w:t>Eroz</w:t>
      </w:r>
      <w:r w:rsidRPr="00852D83">
        <w:rPr>
          <w:rFonts w:asciiTheme="minorHAnsi" w:hAnsiTheme="minorHAnsi" w:cstheme="minorHAnsi"/>
          <w:i/>
        </w:rPr>
        <w:t xml:space="preserve">e koryta řeky Ain v letech 2002 </w:t>
      </w:r>
      <w:r w:rsidR="00DA3E0C">
        <w:rPr>
          <w:rFonts w:asciiTheme="minorHAnsi" w:hAnsiTheme="minorHAnsi" w:cstheme="minorHAnsi"/>
          <w:i/>
        </w:rPr>
        <w:t>–</w:t>
      </w:r>
      <w:r w:rsidRPr="00852D83">
        <w:rPr>
          <w:rFonts w:asciiTheme="minorHAnsi" w:hAnsiTheme="minorHAnsi" w:cstheme="minorHAnsi"/>
          <w:i/>
        </w:rPr>
        <w:t xml:space="preserve"> 2005</w:t>
      </w:r>
    </w:p>
    <w:p w:rsidR="00DA3E0C" w:rsidRDefault="00DA3E0C" w:rsidP="00852D83">
      <w:pPr>
        <w:jc w:val="both"/>
        <w:rPr>
          <w:rFonts w:asciiTheme="minorHAnsi" w:hAnsiTheme="minorHAnsi" w:cstheme="minorHAnsi"/>
          <w:i/>
        </w:rPr>
      </w:pPr>
    </w:p>
    <w:p w:rsidR="00DA3E0C" w:rsidRDefault="00DA3E0C" w:rsidP="00852D83">
      <w:pPr>
        <w:jc w:val="both"/>
        <w:rPr>
          <w:rFonts w:asciiTheme="minorHAnsi" w:hAnsiTheme="minorHAnsi" w:cstheme="minorHAnsi"/>
          <w:i/>
        </w:rPr>
      </w:pPr>
    </w:p>
    <w:p w:rsidR="00DA3E0C" w:rsidRDefault="00DA3E0C" w:rsidP="00852D83">
      <w:pPr>
        <w:jc w:val="both"/>
        <w:rPr>
          <w:rFonts w:asciiTheme="minorHAnsi" w:hAnsiTheme="minorHAnsi" w:cstheme="minorHAnsi"/>
          <w:i/>
        </w:rPr>
      </w:pPr>
    </w:p>
    <w:p w:rsidR="00DA3E0C" w:rsidRDefault="00DA3E0C" w:rsidP="00852D83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lang w:eastAsia="cs-CZ"/>
        </w:rPr>
        <w:lastRenderedPageBreak/>
        <w:drawing>
          <wp:inline distT="0" distB="0" distL="0" distR="0">
            <wp:extent cx="5760720" cy="7355996"/>
            <wp:effectExtent l="0" t="0" r="0" b="0"/>
            <wp:docPr id="7" name="Obrázek 7" descr="G:\Moje\Škola blbiny\MUni\3. semestr\Hydrologie\Cvičení 12\akumulac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oje\Škola blbiny\MUni\3. semestr\Hydrologie\Cvičení 12\akumulace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0C" w:rsidRPr="00852D83" w:rsidRDefault="00DA3E0C" w:rsidP="00DA3E0C">
      <w:pPr>
        <w:jc w:val="both"/>
        <w:rPr>
          <w:rFonts w:asciiTheme="minorHAnsi" w:hAnsiTheme="minorHAnsi" w:cstheme="minorHAnsi"/>
          <w:i/>
        </w:rPr>
      </w:pPr>
      <w:r w:rsidRPr="00852D83">
        <w:rPr>
          <w:rFonts w:asciiTheme="minorHAnsi" w:hAnsiTheme="minorHAnsi" w:cstheme="minorHAnsi"/>
          <w:b/>
          <w:i/>
        </w:rPr>
        <w:t xml:space="preserve">Obrázek č. </w:t>
      </w:r>
      <w:r>
        <w:rPr>
          <w:rFonts w:asciiTheme="minorHAnsi" w:hAnsiTheme="minorHAnsi" w:cstheme="minorHAnsi"/>
          <w:b/>
          <w:i/>
        </w:rPr>
        <w:t>3</w:t>
      </w:r>
      <w:r w:rsidRPr="00852D83">
        <w:rPr>
          <w:rFonts w:asciiTheme="minorHAnsi" w:hAnsiTheme="minorHAnsi" w:cstheme="minorHAnsi"/>
          <w:b/>
          <w:i/>
        </w:rPr>
        <w:t xml:space="preserve"> – </w:t>
      </w:r>
      <w:r w:rsidRPr="00852D83">
        <w:rPr>
          <w:rFonts w:asciiTheme="minorHAnsi" w:hAnsiTheme="minorHAnsi" w:cstheme="minorHAnsi"/>
          <w:i/>
        </w:rPr>
        <w:t>Akumulace koryta řeky Ain v letech 200</w:t>
      </w:r>
      <w:r>
        <w:rPr>
          <w:rFonts w:asciiTheme="minorHAnsi" w:hAnsiTheme="minorHAnsi" w:cstheme="minorHAnsi"/>
          <w:i/>
        </w:rPr>
        <w:t>5 - 2011</w:t>
      </w:r>
    </w:p>
    <w:p w:rsidR="00DA3E0C" w:rsidRPr="00852D83" w:rsidRDefault="00DA3E0C" w:rsidP="00852D83">
      <w:pPr>
        <w:jc w:val="both"/>
        <w:rPr>
          <w:rFonts w:asciiTheme="minorHAnsi" w:hAnsiTheme="minorHAnsi" w:cstheme="minorHAnsi"/>
          <w:i/>
        </w:rPr>
      </w:pPr>
    </w:p>
    <w:p w:rsidR="00852D83" w:rsidRDefault="00DA3E0C" w:rsidP="0021781A">
      <w:pPr>
        <w:jc w:val="both"/>
      </w:pPr>
      <w:r>
        <w:rPr>
          <w:lang w:eastAsia="cs-CZ"/>
        </w:rPr>
        <w:lastRenderedPageBreak/>
        <w:drawing>
          <wp:inline distT="0" distB="0" distL="0" distR="0">
            <wp:extent cx="5760720" cy="7355996"/>
            <wp:effectExtent l="0" t="0" r="0" b="0"/>
            <wp:docPr id="8" name="Obrázek 8" descr="G:\Moje\Škola blbiny\MUni\3. semestr\Hydrologie\Cvičení 12\eroz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Moje\Škola blbiny\MUni\3. semestr\Hydrologie\Cvičení 12\eroze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0C" w:rsidRDefault="00DA3E0C" w:rsidP="00DA3E0C">
      <w:pPr>
        <w:jc w:val="both"/>
        <w:rPr>
          <w:rFonts w:asciiTheme="minorHAnsi" w:hAnsiTheme="minorHAnsi" w:cstheme="minorHAnsi"/>
          <w:i/>
        </w:rPr>
      </w:pPr>
      <w:r w:rsidRPr="00852D83">
        <w:rPr>
          <w:rFonts w:asciiTheme="minorHAnsi" w:hAnsiTheme="minorHAnsi" w:cstheme="minorHAnsi"/>
          <w:b/>
          <w:i/>
        </w:rPr>
        <w:t xml:space="preserve">Obrázek č. </w:t>
      </w:r>
      <w:r>
        <w:rPr>
          <w:rFonts w:asciiTheme="minorHAnsi" w:hAnsiTheme="minorHAnsi" w:cstheme="minorHAnsi"/>
          <w:b/>
          <w:i/>
        </w:rPr>
        <w:t>4</w:t>
      </w:r>
      <w:r w:rsidRPr="00852D83">
        <w:rPr>
          <w:rFonts w:asciiTheme="minorHAnsi" w:hAnsiTheme="minorHAnsi" w:cstheme="minorHAnsi"/>
          <w:b/>
          <w:i/>
        </w:rPr>
        <w:t xml:space="preserve"> – </w:t>
      </w:r>
      <w:r>
        <w:rPr>
          <w:rFonts w:asciiTheme="minorHAnsi" w:hAnsiTheme="minorHAnsi" w:cstheme="minorHAnsi"/>
          <w:i/>
        </w:rPr>
        <w:t>Eroz</w:t>
      </w:r>
      <w:r w:rsidRPr="00852D83">
        <w:rPr>
          <w:rFonts w:asciiTheme="minorHAnsi" w:hAnsiTheme="minorHAnsi" w:cstheme="minorHAnsi"/>
          <w:i/>
        </w:rPr>
        <w:t xml:space="preserve">e koryta řeky Ain v letech </w:t>
      </w:r>
      <w:r>
        <w:rPr>
          <w:rFonts w:asciiTheme="minorHAnsi" w:hAnsiTheme="minorHAnsi" w:cstheme="minorHAnsi"/>
          <w:i/>
        </w:rPr>
        <w:t>2005</w:t>
      </w:r>
      <w:r w:rsidRPr="00852D8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–</w:t>
      </w:r>
      <w:r>
        <w:rPr>
          <w:rFonts w:asciiTheme="minorHAnsi" w:hAnsiTheme="minorHAnsi" w:cstheme="minorHAnsi"/>
          <w:i/>
        </w:rPr>
        <w:t xml:space="preserve"> 2011</w:t>
      </w:r>
    </w:p>
    <w:p w:rsidR="00DA3E0C" w:rsidRDefault="00DA3E0C" w:rsidP="0021781A">
      <w:pPr>
        <w:jc w:val="both"/>
      </w:pPr>
    </w:p>
    <w:p w:rsidR="00DA3E0C" w:rsidRDefault="00DA3E0C" w:rsidP="0021781A">
      <w:pPr>
        <w:jc w:val="both"/>
      </w:pPr>
    </w:p>
    <w:p w:rsidR="0021781A" w:rsidRPr="00B44798" w:rsidRDefault="00B44798" w:rsidP="0021781A">
      <w:pPr>
        <w:jc w:val="both"/>
        <w:rPr>
          <w:i/>
        </w:rPr>
      </w:pPr>
      <w:r w:rsidRPr="00B44798">
        <w:rPr>
          <w:b/>
          <w:i/>
        </w:rPr>
        <w:lastRenderedPageBreak/>
        <w:t>Tabulka č. 1</w:t>
      </w:r>
      <w:r w:rsidRPr="00B44798">
        <w:rPr>
          <w:i/>
        </w:rPr>
        <w:t xml:space="preserve"> –eroze a akumulace pro každý z 250m dlouhých úseků vybrané části koryta řeky Ain pro období 2002 – 2005 a 2005 – 2011 (</w:t>
      </w:r>
      <w:r w:rsidR="00640427">
        <w:rPr>
          <w:i/>
        </w:rPr>
        <w:t>vypočítáno pomocí programu Arc Gis</w:t>
      </w:r>
      <w:r w:rsidRPr="00B44798">
        <w:rPr>
          <w:i/>
        </w:rPr>
        <w:t>).</w:t>
      </w:r>
    </w:p>
    <w:tbl>
      <w:tblPr>
        <w:tblW w:w="6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20"/>
        <w:gridCol w:w="1360"/>
        <w:gridCol w:w="1220"/>
        <w:gridCol w:w="1320"/>
      </w:tblGrid>
      <w:tr w:rsidR="00640427" w:rsidRPr="00640427" w:rsidTr="00640427">
        <w:trPr>
          <w:trHeight w:val="63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403151"/>
            <w:vAlign w:val="center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640427">
              <w:rPr>
                <w:rFonts w:eastAsia="Times New Roman" w:cs="Arial"/>
                <w:b/>
                <w:bCs/>
                <w:noProof w:val="0"/>
                <w:color w:val="FFFFFF"/>
                <w:sz w:val="20"/>
                <w:szCs w:val="20"/>
                <w:lang w:eastAsia="cs-CZ"/>
              </w:rPr>
              <w:t xml:space="preserve">Polygon </w:t>
            </w:r>
            <w:r w:rsidRPr="00640427"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  <w:t xml:space="preserve">        (po</w:t>
            </w:r>
            <w:proofErr w:type="gramEnd"/>
            <w:r w:rsidRPr="00640427"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  <w:t xml:space="preserve"> směru toku)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403151"/>
            <w:vAlign w:val="center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color w:val="FFFFFF"/>
                <w:sz w:val="20"/>
                <w:szCs w:val="20"/>
                <w:lang w:eastAsia="cs-CZ"/>
              </w:rPr>
              <w:t>Akumulace</w:t>
            </w:r>
            <w:r w:rsidRPr="00640427"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  <w:t xml:space="preserve"> (2002 - 2005)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03151"/>
            <w:vAlign w:val="center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640427">
              <w:rPr>
                <w:rFonts w:eastAsia="Times New Roman" w:cs="Arial"/>
                <w:b/>
                <w:bCs/>
                <w:noProof w:val="0"/>
                <w:color w:val="FFFFFF"/>
                <w:sz w:val="20"/>
                <w:szCs w:val="20"/>
                <w:lang w:eastAsia="cs-CZ"/>
              </w:rPr>
              <w:t xml:space="preserve">Eroze </w:t>
            </w:r>
            <w:r w:rsidRPr="00640427"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  <w:t xml:space="preserve">        (2002</w:t>
            </w:r>
            <w:proofErr w:type="gramEnd"/>
            <w:r w:rsidRPr="00640427"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  <w:t xml:space="preserve"> - 2005)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403151"/>
            <w:vAlign w:val="center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color w:val="FFFFFF"/>
                <w:sz w:val="20"/>
                <w:szCs w:val="20"/>
                <w:lang w:eastAsia="cs-CZ"/>
              </w:rPr>
              <w:t>Akumulace</w:t>
            </w:r>
            <w:r w:rsidRPr="00640427"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  <w:t xml:space="preserve"> (2005 - 2011)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03151"/>
            <w:vAlign w:val="center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640427">
              <w:rPr>
                <w:rFonts w:eastAsia="Times New Roman" w:cs="Arial"/>
                <w:b/>
                <w:bCs/>
                <w:noProof w:val="0"/>
                <w:color w:val="FFFFFF"/>
                <w:sz w:val="20"/>
                <w:szCs w:val="20"/>
                <w:lang w:eastAsia="cs-CZ"/>
              </w:rPr>
              <w:t xml:space="preserve">Eroze </w:t>
            </w:r>
            <w:r w:rsidRPr="00640427"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  <w:t xml:space="preserve">            (2005</w:t>
            </w:r>
            <w:proofErr w:type="gramEnd"/>
            <w:r w:rsidRPr="00640427">
              <w:rPr>
                <w:rFonts w:eastAsia="Times New Roman" w:cs="Arial"/>
                <w:noProof w:val="0"/>
                <w:color w:val="FFFFFF"/>
                <w:sz w:val="20"/>
                <w:szCs w:val="20"/>
                <w:lang w:eastAsia="cs-CZ"/>
              </w:rPr>
              <w:t xml:space="preserve"> - 2011)</w:t>
            </w:r>
          </w:p>
        </w:tc>
      </w:tr>
      <w:tr w:rsidR="00640427" w:rsidRPr="00640427" w:rsidTr="00640427">
        <w:trPr>
          <w:trHeight w:val="270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243,18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2221,24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2063,81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698,02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1082,92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1702,41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1479,42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115,61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984,21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2282,91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1085,17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166,90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2807,86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2629,86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1986,86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1,34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1577,51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2150,90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834,66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157,71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1299,84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1759,82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2784,76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108,37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333,60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4327,75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2172,42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117,31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411,37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1918,33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1635,62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186,89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2274,29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1087,86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2295,25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1447,60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313,29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616,54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2039,51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646,91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3952,43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6430,01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2711,87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349,35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4337,75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5728,10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12254,79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1300,59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1036,56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3065,95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1889,52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663,72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1377,29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2577,12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1272,35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532,10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367,85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4515,03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3582,21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1600,32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1810,42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2822,69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2305,77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530,92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1659,26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1408,98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1037,50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553,86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99,67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997,94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2303,42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142,56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864,09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602,78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1029,78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399,15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1929,68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502,85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870,76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849,16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2313,24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2283,79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2311,11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979,73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2457,65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2610,45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2791,63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402,73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3519,59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1949,90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3508,31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233,38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1505,22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390,66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2866,14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1273,74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2179,41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3549,98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834,25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4252,13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159,85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3234,09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1536,48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2802,66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424,40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2465,47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2290,70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487,90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251,82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6781,10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7362,65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121,02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51,07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2469,91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11284,94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2627,86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5564,64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9626,31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23244,78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6753,90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5466,60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6700,15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9000,81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5655,41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412,24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5136,97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329,58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2455,96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1402,76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7575,81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452,06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3159,70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5033,52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9389,42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96,31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4072,60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2170,65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2423,49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228,98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786,86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1767,40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1465,10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2520,17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1155,99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7873,94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2982,68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94,34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3074,08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9216,27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3644,38</w:t>
            </w:r>
          </w:p>
        </w:tc>
      </w:tr>
      <w:tr w:rsidR="00640427" w:rsidRPr="00640427" w:rsidTr="00640427">
        <w:trPr>
          <w:trHeight w:val="25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1282,32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4168,32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3356,67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3512,83</w:t>
            </w:r>
          </w:p>
        </w:tc>
      </w:tr>
      <w:tr w:rsidR="00640427" w:rsidRPr="00640427" w:rsidTr="00640427">
        <w:trPr>
          <w:trHeight w:val="270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b/>
                <w:bCs/>
                <w:noProof w:val="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10354,66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4682,25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248,64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640427" w:rsidRPr="00640427" w:rsidRDefault="00640427" w:rsidP="00640427">
            <w:pPr>
              <w:spacing w:before="0" w:beforeAutospacing="0" w:after="0" w:afterAutospacing="0"/>
              <w:jc w:val="right"/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</w:pPr>
            <w:r w:rsidRPr="00640427">
              <w:rPr>
                <w:rFonts w:eastAsia="Times New Roman" w:cs="Arial"/>
                <w:noProof w:val="0"/>
                <w:sz w:val="20"/>
                <w:szCs w:val="20"/>
                <w:lang w:eastAsia="cs-CZ"/>
              </w:rPr>
              <w:t>2342,15</w:t>
            </w:r>
          </w:p>
        </w:tc>
      </w:tr>
    </w:tbl>
    <w:p w:rsidR="00B44798" w:rsidRDefault="00B44798" w:rsidP="0021781A">
      <w:pPr>
        <w:jc w:val="both"/>
      </w:pPr>
    </w:p>
    <w:p w:rsidR="00385773" w:rsidRDefault="00385773" w:rsidP="0021781A">
      <w:pPr>
        <w:jc w:val="left"/>
        <w:rPr>
          <w:lang w:val="en-US"/>
        </w:rPr>
      </w:pPr>
    </w:p>
    <w:p w:rsidR="0021781A" w:rsidRDefault="0021781A" w:rsidP="009614B6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21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91" w:rsidRDefault="00EA3B91" w:rsidP="009614B6">
      <w:pPr>
        <w:spacing w:before="0" w:after="0"/>
      </w:pPr>
      <w:r>
        <w:separator/>
      </w:r>
    </w:p>
  </w:endnote>
  <w:endnote w:type="continuationSeparator" w:id="0">
    <w:p w:rsidR="00EA3B91" w:rsidRDefault="00EA3B91" w:rsidP="009614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91" w:rsidRDefault="00EA3B91" w:rsidP="009614B6">
      <w:pPr>
        <w:spacing w:before="0" w:after="0"/>
      </w:pPr>
      <w:r>
        <w:separator/>
      </w:r>
    </w:p>
  </w:footnote>
  <w:footnote w:type="continuationSeparator" w:id="0">
    <w:p w:rsidR="00EA3B91" w:rsidRDefault="00EA3B91" w:rsidP="009614B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92"/>
    <w:rsid w:val="00006342"/>
    <w:rsid w:val="000D5D72"/>
    <w:rsid w:val="000F5CD0"/>
    <w:rsid w:val="00153BAF"/>
    <w:rsid w:val="00194919"/>
    <w:rsid w:val="0021781A"/>
    <w:rsid w:val="00290F83"/>
    <w:rsid w:val="00385773"/>
    <w:rsid w:val="003B57E0"/>
    <w:rsid w:val="003B6395"/>
    <w:rsid w:val="00437492"/>
    <w:rsid w:val="005360DE"/>
    <w:rsid w:val="00545E93"/>
    <w:rsid w:val="00640427"/>
    <w:rsid w:val="006839D3"/>
    <w:rsid w:val="00772BF4"/>
    <w:rsid w:val="00852D83"/>
    <w:rsid w:val="00867158"/>
    <w:rsid w:val="008D6E6D"/>
    <w:rsid w:val="008E2334"/>
    <w:rsid w:val="008F168B"/>
    <w:rsid w:val="00941D81"/>
    <w:rsid w:val="009614B6"/>
    <w:rsid w:val="0096542D"/>
    <w:rsid w:val="00975D8C"/>
    <w:rsid w:val="009A1EAF"/>
    <w:rsid w:val="00B44798"/>
    <w:rsid w:val="00C415E1"/>
    <w:rsid w:val="00C9116F"/>
    <w:rsid w:val="00DA3E0C"/>
    <w:rsid w:val="00E37249"/>
    <w:rsid w:val="00EA3B91"/>
    <w:rsid w:val="00F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492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4B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614B6"/>
    <w:rPr>
      <w:rFonts w:ascii="Calibri" w:eastAsia="Calibri" w:hAnsi="Calibri" w:cs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9614B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614B6"/>
    <w:rPr>
      <w:rFonts w:ascii="Calibri" w:eastAsia="Calibri" w:hAnsi="Calibri" w:cs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4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B6"/>
    <w:rPr>
      <w:rFonts w:ascii="Tahoma" w:eastAsia="Calibri" w:hAnsi="Tahoma" w:cs="Tahoma"/>
      <w:noProof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116F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911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492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4B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614B6"/>
    <w:rPr>
      <w:rFonts w:ascii="Calibri" w:eastAsia="Calibri" w:hAnsi="Calibri" w:cs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9614B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614B6"/>
    <w:rPr>
      <w:rFonts w:ascii="Calibri" w:eastAsia="Calibri" w:hAnsi="Calibri" w:cs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4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B6"/>
    <w:rPr>
      <w:rFonts w:ascii="Tahoma" w:eastAsia="Calibri" w:hAnsi="Tahoma" w:cs="Tahoma"/>
      <w:noProof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116F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911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2DB6-1689-492F-880B-70506C9D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čížkova</dc:creator>
  <cp:lastModifiedBy>klára čížkova</cp:lastModifiedBy>
  <cp:revision>4</cp:revision>
  <dcterms:created xsi:type="dcterms:W3CDTF">2012-12-24T11:24:00Z</dcterms:created>
  <dcterms:modified xsi:type="dcterms:W3CDTF">2012-12-24T11:49:00Z</dcterms:modified>
</cp:coreProperties>
</file>