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8C5" w:rsidRDefault="000758C5">
      <w:r>
        <w:t>Hustota zalidnění regionů EU</w:t>
      </w:r>
    </w:p>
    <w:p w:rsidR="000758C5" w:rsidRDefault="000758C5" w:rsidP="000758C5">
      <w:pPr>
        <w:jc w:val="right"/>
      </w:pPr>
      <w:r>
        <w:tab/>
      </w:r>
      <w:r>
        <w:tab/>
      </w:r>
      <w:r>
        <w:tab/>
        <w:t>Dominik Prymš</w:t>
      </w:r>
    </w:p>
    <w:p w:rsidR="006B1DD9" w:rsidRDefault="000758C5" w:rsidP="000758C5">
      <w:pPr>
        <w:ind w:firstLine="708"/>
      </w:pPr>
      <w:r w:rsidRPr="000758C5">
        <w:t>Předkládaná mapa zobrazuje hustotu zalidnění v jednotlivých regionech Evropské unie řádu NUTS 2 v roce 2009. Nejhustší zalidnění je logicky pozorováno v silně urbanizovaných regionech jako např. Porúří, Benelux nebo regionech vymezených pouze jedním městem a jeho přilehlým okolím. Na opačné straně stojí řídce obydlené hornaté a lesna</w:t>
      </w:r>
      <w:r>
        <w:t>té oblasti severských států Švéd</w:t>
      </w:r>
      <w:r w:rsidRPr="000758C5">
        <w:t>ska a Finska nebo centrálních oblastí Pyrenejského poloostrova.</w:t>
      </w:r>
      <w:bookmarkStart w:id="0" w:name="_GoBack"/>
      <w:bookmarkEnd w:id="0"/>
    </w:p>
    <w:sectPr w:rsidR="006B1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8C5"/>
    <w:rsid w:val="000758C5"/>
    <w:rsid w:val="001B41FF"/>
    <w:rsid w:val="00253656"/>
    <w:rsid w:val="0078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761BBE3C.dotm</Template>
  <TotalTime>4</TotalTime>
  <Pages>1</Pages>
  <Words>65</Words>
  <Characters>409</Characters>
  <Application>Microsoft Office Word</Application>
  <DocSecurity>0</DocSecurity>
  <Lines>7</Lines>
  <Paragraphs>3</Paragraphs>
  <ScaleCrop>false</ScaleCrop>
  <Company>UVT MU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Prymš</dc:creator>
  <cp:keywords/>
  <dc:description/>
  <cp:lastModifiedBy>Dominik Prymš</cp:lastModifiedBy>
  <cp:revision>2</cp:revision>
  <dcterms:created xsi:type="dcterms:W3CDTF">2012-10-11T15:29:00Z</dcterms:created>
  <dcterms:modified xsi:type="dcterms:W3CDTF">2012-10-11T15:33:00Z</dcterms:modified>
</cp:coreProperties>
</file>