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CF" w:rsidRDefault="00482ACF" w:rsidP="00482ACF">
      <w:pPr>
        <w:pStyle w:val="Default"/>
        <w:rPr>
          <w:rFonts w:ascii="Times New Roman" w:hAnsi="Times New Roman" w:cs="Times New Roman"/>
          <w:sz w:val="20"/>
          <w:szCs w:val="20"/>
          <w:lang w:val="en-GB"/>
        </w:rPr>
      </w:pPr>
    </w:p>
    <w:p w:rsidR="00D37701" w:rsidRDefault="00D37701" w:rsidP="00482ACF">
      <w:pPr>
        <w:pStyle w:val="Default"/>
        <w:rPr>
          <w:rFonts w:ascii="Times New Roman" w:hAnsi="Times New Roman" w:cs="Times New Roman"/>
          <w:sz w:val="20"/>
          <w:szCs w:val="20"/>
          <w:lang w:val="en-GB"/>
        </w:rPr>
      </w:pPr>
    </w:p>
    <w:p w:rsidR="00D37701" w:rsidRDefault="00D37701" w:rsidP="00D37701">
      <w:pPr>
        <w:pStyle w:val="Default"/>
        <w:spacing w:line="360" w:lineRule="auto"/>
        <w:rPr>
          <w:rFonts w:ascii="Times New Roman" w:hAnsi="Times New Roman" w:cs="Times New Roman"/>
          <w:b/>
          <w:color w:val="auto"/>
          <w:lang w:val="en-US"/>
        </w:rPr>
      </w:pPr>
      <w:r w:rsidRPr="003C498F">
        <w:rPr>
          <w:rFonts w:ascii="Times New Roman" w:hAnsi="Times New Roman" w:cs="Times New Roman"/>
          <w:b/>
          <w:color w:val="auto"/>
          <w:lang w:val="en-US"/>
        </w:rPr>
        <w:t xml:space="preserve">Twin Polymerization using metal </w:t>
      </w:r>
      <w:proofErr w:type="spellStart"/>
      <w:r w:rsidRPr="003C498F">
        <w:rPr>
          <w:rFonts w:ascii="Times New Roman" w:hAnsi="Times New Roman" w:cs="Times New Roman"/>
          <w:b/>
          <w:color w:val="auto"/>
          <w:lang w:val="en-US"/>
        </w:rPr>
        <w:t>alkoxides</w:t>
      </w:r>
      <w:proofErr w:type="spellEnd"/>
      <w:r w:rsidRPr="003C498F">
        <w:rPr>
          <w:rFonts w:ascii="Times New Roman" w:hAnsi="Times New Roman" w:cs="Times New Roman"/>
          <w:b/>
          <w:color w:val="auto"/>
          <w:lang w:val="en-US"/>
        </w:rPr>
        <w:t xml:space="preserve"> -</w:t>
      </w:r>
      <w:proofErr w:type="gramStart"/>
      <w:r w:rsidRPr="003C498F">
        <w:rPr>
          <w:rFonts w:ascii="Times New Roman" w:hAnsi="Times New Roman" w:cs="Times New Roman"/>
          <w:b/>
          <w:color w:val="auto"/>
          <w:lang w:val="en-US"/>
        </w:rPr>
        <w:t>  a</w:t>
      </w:r>
      <w:proofErr w:type="gramEnd"/>
      <w:r w:rsidRPr="003C498F">
        <w:rPr>
          <w:rFonts w:ascii="Times New Roman" w:hAnsi="Times New Roman" w:cs="Times New Roman"/>
          <w:b/>
          <w:color w:val="auto"/>
          <w:lang w:val="en-US"/>
        </w:rPr>
        <w:t xml:space="preserve"> </w:t>
      </w:r>
      <w:proofErr w:type="spellStart"/>
      <w:r w:rsidRPr="003C498F">
        <w:rPr>
          <w:rFonts w:ascii="Times New Roman" w:hAnsi="Times New Roman" w:cs="Times New Roman"/>
          <w:b/>
          <w:color w:val="auto"/>
          <w:lang w:val="en-US"/>
        </w:rPr>
        <w:t>nonaqueous</w:t>
      </w:r>
      <w:proofErr w:type="spellEnd"/>
      <w:r w:rsidRPr="003C498F">
        <w:rPr>
          <w:rFonts w:ascii="Times New Roman" w:hAnsi="Times New Roman" w:cs="Times New Roman"/>
          <w:b/>
          <w:color w:val="auto"/>
          <w:lang w:val="en-US"/>
        </w:rPr>
        <w:t xml:space="preserve"> synthetic route for metal oxide-based hybrid materials</w:t>
      </w:r>
    </w:p>
    <w:p w:rsidR="005B0E2B" w:rsidRDefault="005B0E2B" w:rsidP="00D37701">
      <w:pPr>
        <w:pStyle w:val="Default"/>
        <w:spacing w:line="360" w:lineRule="auto"/>
        <w:rPr>
          <w:rFonts w:ascii="Times New Roman" w:hAnsi="Times New Roman" w:cs="Times New Roman"/>
          <w:b/>
          <w:color w:val="auto"/>
          <w:lang w:val="en-US"/>
        </w:rPr>
      </w:pPr>
    </w:p>
    <w:p w:rsidR="005B0E2B" w:rsidRPr="005B0E2B" w:rsidRDefault="005B0E2B" w:rsidP="005B0E2B">
      <w:pPr>
        <w:pStyle w:val="Default"/>
        <w:spacing w:line="360" w:lineRule="auto"/>
        <w:rPr>
          <w:rFonts w:ascii="Times New Roman" w:hAnsi="Times New Roman" w:cs="Times New Roman"/>
          <w:b/>
          <w:color w:val="auto"/>
          <w:lang w:val="en-US"/>
        </w:rPr>
      </w:pPr>
      <w:r w:rsidRPr="005B0E2B">
        <w:rPr>
          <w:rFonts w:ascii="Times New Roman" w:hAnsi="Times New Roman" w:cs="Times New Roman"/>
          <w:b/>
          <w:color w:val="auto"/>
          <w:lang w:val="en-US"/>
        </w:rPr>
        <w:t xml:space="preserve">Prof. Dr. Michael </w:t>
      </w:r>
      <w:proofErr w:type="spellStart"/>
      <w:r w:rsidRPr="005B0E2B">
        <w:rPr>
          <w:rFonts w:ascii="Times New Roman" w:hAnsi="Times New Roman" w:cs="Times New Roman"/>
          <w:b/>
          <w:color w:val="auto"/>
          <w:lang w:val="en-US"/>
        </w:rPr>
        <w:t>Mehring</w:t>
      </w:r>
      <w:proofErr w:type="spellEnd"/>
    </w:p>
    <w:p w:rsidR="005B0E2B" w:rsidRPr="005B0E2B" w:rsidRDefault="005B0E2B" w:rsidP="005B0E2B">
      <w:pPr>
        <w:pStyle w:val="Default"/>
        <w:spacing w:line="360" w:lineRule="auto"/>
        <w:rPr>
          <w:rFonts w:ascii="Times New Roman" w:hAnsi="Times New Roman" w:cs="Times New Roman"/>
          <w:b/>
          <w:color w:val="auto"/>
          <w:lang w:val="en-US"/>
        </w:rPr>
      </w:pPr>
      <w:proofErr w:type="spellStart"/>
      <w:r w:rsidRPr="005B0E2B">
        <w:rPr>
          <w:rFonts w:ascii="Times New Roman" w:hAnsi="Times New Roman" w:cs="Times New Roman"/>
          <w:b/>
          <w:color w:val="auto"/>
          <w:lang w:val="en-US"/>
        </w:rPr>
        <w:t>Technische</w:t>
      </w:r>
      <w:proofErr w:type="spellEnd"/>
      <w:r w:rsidRPr="005B0E2B">
        <w:rPr>
          <w:rFonts w:ascii="Times New Roman" w:hAnsi="Times New Roman" w:cs="Times New Roman"/>
          <w:b/>
          <w:color w:val="auto"/>
          <w:lang w:val="en-US"/>
        </w:rPr>
        <w:t xml:space="preserve"> </w:t>
      </w:r>
      <w:proofErr w:type="spellStart"/>
      <w:r w:rsidRPr="005B0E2B">
        <w:rPr>
          <w:rFonts w:ascii="Times New Roman" w:hAnsi="Times New Roman" w:cs="Times New Roman"/>
          <w:b/>
          <w:color w:val="auto"/>
          <w:lang w:val="en-US"/>
        </w:rPr>
        <w:t>Universität</w:t>
      </w:r>
      <w:proofErr w:type="spellEnd"/>
      <w:r w:rsidRPr="005B0E2B">
        <w:rPr>
          <w:rFonts w:ascii="Times New Roman" w:hAnsi="Times New Roman" w:cs="Times New Roman"/>
          <w:b/>
          <w:color w:val="auto"/>
          <w:lang w:val="en-US"/>
        </w:rPr>
        <w:t xml:space="preserve"> Chemnitz </w:t>
      </w:r>
    </w:p>
    <w:p w:rsidR="005B0E2B" w:rsidRPr="003C498F" w:rsidRDefault="005B0E2B" w:rsidP="005B0E2B">
      <w:pPr>
        <w:pStyle w:val="Default"/>
        <w:spacing w:line="360" w:lineRule="auto"/>
        <w:rPr>
          <w:rFonts w:ascii="Times New Roman" w:hAnsi="Times New Roman" w:cs="Times New Roman"/>
          <w:b/>
          <w:color w:val="auto"/>
          <w:lang w:val="en-US"/>
        </w:rPr>
      </w:pPr>
      <w:proofErr w:type="spellStart"/>
      <w:r w:rsidRPr="005B0E2B">
        <w:rPr>
          <w:rFonts w:ascii="Times New Roman" w:hAnsi="Times New Roman" w:cs="Times New Roman"/>
          <w:b/>
          <w:color w:val="auto"/>
          <w:lang w:val="en-US"/>
        </w:rPr>
        <w:t>Institut</w:t>
      </w:r>
      <w:proofErr w:type="spellEnd"/>
      <w:r w:rsidRPr="005B0E2B">
        <w:rPr>
          <w:rFonts w:ascii="Times New Roman" w:hAnsi="Times New Roman" w:cs="Times New Roman"/>
          <w:b/>
          <w:color w:val="auto"/>
          <w:lang w:val="en-US"/>
        </w:rPr>
        <w:t xml:space="preserve"> </w:t>
      </w:r>
      <w:proofErr w:type="spellStart"/>
      <w:r w:rsidRPr="005B0E2B">
        <w:rPr>
          <w:rFonts w:ascii="Times New Roman" w:hAnsi="Times New Roman" w:cs="Times New Roman"/>
          <w:b/>
          <w:color w:val="auto"/>
          <w:lang w:val="en-US"/>
        </w:rPr>
        <w:t>für</w:t>
      </w:r>
      <w:proofErr w:type="spellEnd"/>
      <w:r w:rsidRPr="005B0E2B">
        <w:rPr>
          <w:rFonts w:ascii="Times New Roman" w:hAnsi="Times New Roman" w:cs="Times New Roman"/>
          <w:b/>
          <w:color w:val="auto"/>
          <w:lang w:val="en-US"/>
        </w:rPr>
        <w:t xml:space="preserve"> </w:t>
      </w:r>
      <w:proofErr w:type="spellStart"/>
      <w:r w:rsidRPr="005B0E2B">
        <w:rPr>
          <w:rFonts w:ascii="Times New Roman" w:hAnsi="Times New Roman" w:cs="Times New Roman"/>
          <w:b/>
          <w:color w:val="auto"/>
          <w:lang w:val="en-US"/>
        </w:rPr>
        <w:t>Chemie</w:t>
      </w:r>
      <w:bookmarkStart w:id="0" w:name="_GoBack"/>
      <w:bookmarkEnd w:id="0"/>
      <w:proofErr w:type="spellEnd"/>
    </w:p>
    <w:p w:rsidR="00482ACF" w:rsidRDefault="00482ACF" w:rsidP="00482ACF">
      <w:pPr>
        <w:pStyle w:val="Default"/>
        <w:rPr>
          <w:rFonts w:ascii="Times New Roman" w:hAnsi="Times New Roman" w:cs="Times New Roman"/>
          <w:sz w:val="20"/>
          <w:szCs w:val="20"/>
          <w:lang w:val="en-GB"/>
        </w:rPr>
      </w:pPr>
    </w:p>
    <w:p w:rsidR="00482ACF" w:rsidRPr="00D37701" w:rsidRDefault="00482ACF" w:rsidP="004D7904">
      <w:pPr>
        <w:pStyle w:val="Default"/>
        <w:spacing w:line="480" w:lineRule="auto"/>
        <w:rPr>
          <w:rFonts w:ascii="Times New Roman" w:hAnsi="Times New Roman" w:cs="Times New Roman"/>
          <w:b/>
          <w:sz w:val="20"/>
          <w:szCs w:val="20"/>
          <w:lang w:val="en-GB"/>
        </w:rPr>
      </w:pPr>
      <w:r w:rsidRPr="00482ACF">
        <w:rPr>
          <w:rFonts w:ascii="Times New Roman" w:hAnsi="Times New Roman" w:cs="Times New Roman"/>
          <w:b/>
          <w:sz w:val="20"/>
          <w:szCs w:val="20"/>
          <w:lang w:val="en-GB"/>
        </w:rPr>
        <w:t xml:space="preserve">Abstract </w:t>
      </w:r>
    </w:p>
    <w:p w:rsidR="00482ACF" w:rsidRPr="003C498F" w:rsidRDefault="00482ACF" w:rsidP="004D7904">
      <w:pPr>
        <w:pStyle w:val="Default"/>
        <w:spacing w:line="480" w:lineRule="auto"/>
        <w:rPr>
          <w:rFonts w:ascii="Times New Roman" w:hAnsi="Times New Roman" w:cs="Times New Roman"/>
          <w:sz w:val="22"/>
          <w:szCs w:val="22"/>
          <w:lang w:val="en-US"/>
        </w:rPr>
      </w:pPr>
      <w:r w:rsidRPr="003C498F">
        <w:rPr>
          <w:rFonts w:ascii="Times New Roman" w:hAnsi="Times New Roman" w:cs="Times New Roman"/>
          <w:sz w:val="22"/>
          <w:szCs w:val="22"/>
          <w:lang w:val="en-GB"/>
        </w:rPr>
        <w:t>O</w:t>
      </w:r>
      <w:proofErr w:type="spellStart"/>
      <w:r w:rsidRPr="003C498F">
        <w:rPr>
          <w:rFonts w:ascii="Times New Roman" w:hAnsi="Times New Roman" w:cs="Times New Roman"/>
          <w:sz w:val="22"/>
          <w:szCs w:val="22"/>
          <w:lang w:val="en-US"/>
        </w:rPr>
        <w:t>rganic</w:t>
      </w:r>
      <w:proofErr w:type="spellEnd"/>
      <w:r w:rsidRPr="003C498F">
        <w:rPr>
          <w:rFonts w:ascii="Times New Roman" w:hAnsi="Times New Roman" w:cs="Times New Roman"/>
          <w:sz w:val="22"/>
          <w:szCs w:val="22"/>
          <w:lang w:val="en-US"/>
        </w:rPr>
        <w:t xml:space="preserve">-inorganic hybrid materials with </w:t>
      </w:r>
      <w:r w:rsidR="005A7E79" w:rsidRPr="003C498F">
        <w:rPr>
          <w:rFonts w:ascii="Times New Roman" w:hAnsi="Times New Roman" w:cs="Times New Roman"/>
          <w:sz w:val="22"/>
          <w:szCs w:val="22"/>
          <w:lang w:val="en-US"/>
        </w:rPr>
        <w:t xml:space="preserve">high porosity, </w:t>
      </w:r>
      <w:r w:rsidRPr="003C498F">
        <w:rPr>
          <w:rFonts w:ascii="Times New Roman" w:hAnsi="Times New Roman" w:cs="Times New Roman"/>
          <w:sz w:val="22"/>
          <w:szCs w:val="22"/>
          <w:lang w:val="en-US"/>
        </w:rPr>
        <w:t>well d</w:t>
      </w:r>
      <w:r w:rsidR="005A7E79" w:rsidRPr="003C498F">
        <w:rPr>
          <w:rFonts w:ascii="Times New Roman" w:hAnsi="Times New Roman" w:cs="Times New Roman"/>
          <w:sz w:val="22"/>
          <w:szCs w:val="22"/>
          <w:lang w:val="en-US"/>
        </w:rPr>
        <w:t>efined</w:t>
      </w:r>
      <w:r w:rsidR="00D37701" w:rsidRPr="003C498F">
        <w:rPr>
          <w:rFonts w:ascii="Times New Roman" w:hAnsi="Times New Roman" w:cs="Times New Roman"/>
          <w:sz w:val="22"/>
          <w:szCs w:val="22"/>
          <w:lang w:val="en-US"/>
        </w:rPr>
        <w:t xml:space="preserve"> and</w:t>
      </w:r>
      <w:r w:rsidR="005A7E79" w:rsidRPr="003C498F">
        <w:rPr>
          <w:rFonts w:ascii="Times New Roman" w:hAnsi="Times New Roman" w:cs="Times New Roman"/>
          <w:sz w:val="22"/>
          <w:szCs w:val="22"/>
          <w:lang w:val="en-US"/>
        </w:rPr>
        <w:t xml:space="preserve"> </w:t>
      </w:r>
      <w:proofErr w:type="spellStart"/>
      <w:r w:rsidR="005A7E79" w:rsidRPr="003C498F">
        <w:rPr>
          <w:rFonts w:ascii="Times New Roman" w:hAnsi="Times New Roman" w:cs="Times New Roman"/>
          <w:sz w:val="22"/>
          <w:szCs w:val="22"/>
          <w:lang w:val="en-US"/>
        </w:rPr>
        <w:t>nanoscaled</w:t>
      </w:r>
      <w:proofErr w:type="spellEnd"/>
      <w:r w:rsidR="005A7E79" w:rsidRPr="003C498F">
        <w:rPr>
          <w:rFonts w:ascii="Times New Roman" w:hAnsi="Times New Roman" w:cs="Times New Roman"/>
          <w:sz w:val="22"/>
          <w:szCs w:val="22"/>
          <w:lang w:val="en-US"/>
        </w:rPr>
        <w:t xml:space="preserve"> pore </w:t>
      </w:r>
      <w:proofErr w:type="gramStart"/>
      <w:r w:rsidR="005A7E79" w:rsidRPr="003C498F">
        <w:rPr>
          <w:rFonts w:ascii="Times New Roman" w:hAnsi="Times New Roman" w:cs="Times New Roman"/>
          <w:sz w:val="22"/>
          <w:szCs w:val="22"/>
          <w:lang w:val="en-US"/>
        </w:rPr>
        <w:t>geometry</w:t>
      </w:r>
      <w:r w:rsidR="00D37701" w:rsidRPr="003C498F">
        <w:rPr>
          <w:rFonts w:ascii="Times New Roman" w:hAnsi="Times New Roman" w:cs="Times New Roman"/>
          <w:sz w:val="22"/>
          <w:szCs w:val="22"/>
          <w:lang w:val="en-US"/>
        </w:rPr>
        <w:t>,</w:t>
      </w:r>
      <w:proofErr w:type="gramEnd"/>
      <w:r w:rsidRPr="003C498F">
        <w:rPr>
          <w:rFonts w:ascii="Times New Roman" w:hAnsi="Times New Roman" w:cs="Times New Roman"/>
          <w:sz w:val="22"/>
          <w:szCs w:val="22"/>
          <w:lang w:val="en-US"/>
        </w:rPr>
        <w:t xml:space="preserve"> and </w:t>
      </w:r>
      <w:proofErr w:type="spellStart"/>
      <w:r w:rsidRPr="003C498F">
        <w:rPr>
          <w:rFonts w:ascii="Times New Roman" w:hAnsi="Times New Roman" w:cs="Times New Roman"/>
          <w:sz w:val="22"/>
          <w:szCs w:val="22"/>
          <w:lang w:val="en-US"/>
        </w:rPr>
        <w:t>monodisperse</w:t>
      </w:r>
      <w:proofErr w:type="spellEnd"/>
      <w:r w:rsidRPr="003C498F">
        <w:rPr>
          <w:rFonts w:ascii="Times New Roman" w:hAnsi="Times New Roman" w:cs="Times New Roman"/>
          <w:sz w:val="22"/>
          <w:szCs w:val="22"/>
          <w:lang w:val="en-US"/>
        </w:rPr>
        <w:t xml:space="preserve"> domain size distribution </w:t>
      </w:r>
      <w:r w:rsidR="005A7E79" w:rsidRPr="003C498F">
        <w:rPr>
          <w:rFonts w:ascii="Times New Roman" w:hAnsi="Times New Roman" w:cs="Times New Roman"/>
          <w:sz w:val="22"/>
          <w:szCs w:val="22"/>
          <w:lang w:val="en-US"/>
        </w:rPr>
        <w:t>are currently an active</w:t>
      </w:r>
      <w:r w:rsidRPr="003C498F">
        <w:rPr>
          <w:rFonts w:ascii="Times New Roman" w:hAnsi="Times New Roman" w:cs="Times New Roman"/>
          <w:sz w:val="22"/>
          <w:szCs w:val="22"/>
          <w:lang w:val="en-US"/>
        </w:rPr>
        <w:t xml:space="preserve"> field of research. </w:t>
      </w:r>
      <w:r w:rsidR="00D37701" w:rsidRPr="003C498F">
        <w:rPr>
          <w:rFonts w:ascii="Times New Roman" w:hAnsi="Times New Roman" w:cs="Times New Roman"/>
          <w:sz w:val="22"/>
          <w:szCs w:val="22"/>
          <w:lang w:val="en-US"/>
        </w:rPr>
        <w:t>M</w:t>
      </w:r>
      <w:r w:rsidR="005A7E79" w:rsidRPr="003C498F">
        <w:rPr>
          <w:rFonts w:ascii="Times New Roman" w:hAnsi="Times New Roman" w:cs="Times New Roman"/>
          <w:sz w:val="22"/>
          <w:szCs w:val="22"/>
          <w:lang w:val="en-US"/>
        </w:rPr>
        <w:t xml:space="preserve">aterials with domain sizes in the range between 3 to 100 nm are accessible by several synthetic concepts, whereas smaller domain sizes are difficult to address. </w:t>
      </w:r>
      <w:r w:rsidR="00D37701" w:rsidRPr="003C498F">
        <w:rPr>
          <w:rFonts w:ascii="Times New Roman" w:hAnsi="Times New Roman" w:cs="Times New Roman"/>
          <w:sz w:val="22"/>
          <w:szCs w:val="22"/>
          <w:lang w:val="en-US"/>
        </w:rPr>
        <w:t>A novel concept</w:t>
      </w:r>
      <w:r w:rsidR="005A7E79" w:rsidRPr="003C498F">
        <w:rPr>
          <w:rFonts w:ascii="Times New Roman" w:hAnsi="Times New Roman" w:cs="Times New Roman"/>
          <w:sz w:val="22"/>
          <w:szCs w:val="22"/>
          <w:lang w:val="en-US"/>
        </w:rPr>
        <w:t>,</w:t>
      </w:r>
      <w:r w:rsidR="00D37701" w:rsidRPr="003C498F">
        <w:rPr>
          <w:rFonts w:ascii="Times New Roman" w:hAnsi="Times New Roman" w:cs="Times New Roman"/>
          <w:sz w:val="22"/>
          <w:szCs w:val="22"/>
          <w:lang w:val="en-US"/>
        </w:rPr>
        <w:t xml:space="preserve"> the</w:t>
      </w:r>
      <w:r w:rsidR="005A7E79" w:rsidRPr="003C498F">
        <w:rPr>
          <w:rFonts w:ascii="Times New Roman" w:hAnsi="Times New Roman" w:cs="Times New Roman"/>
          <w:sz w:val="22"/>
          <w:szCs w:val="22"/>
          <w:lang w:val="en-US"/>
        </w:rPr>
        <w:t xml:space="preserve"> </w:t>
      </w:r>
      <w:r w:rsidRPr="003C498F">
        <w:rPr>
          <w:rFonts w:ascii="Times New Roman" w:hAnsi="Times New Roman" w:cs="Times New Roman"/>
          <w:sz w:val="22"/>
          <w:szCs w:val="22"/>
          <w:lang w:val="en-US"/>
        </w:rPr>
        <w:t xml:space="preserve">so-called </w:t>
      </w:r>
      <w:r w:rsidRPr="003C498F">
        <w:rPr>
          <w:rFonts w:ascii="Times New Roman" w:hAnsi="Times New Roman" w:cs="Times New Roman"/>
          <w:i/>
          <w:iCs/>
          <w:sz w:val="22"/>
          <w:szCs w:val="22"/>
          <w:lang w:val="en-US"/>
        </w:rPr>
        <w:t xml:space="preserve">Twin Polymerization </w:t>
      </w:r>
      <w:r w:rsidRPr="003C498F">
        <w:rPr>
          <w:rFonts w:ascii="Times New Roman" w:hAnsi="Times New Roman" w:cs="Times New Roman"/>
          <w:iCs/>
          <w:sz w:val="22"/>
          <w:szCs w:val="22"/>
          <w:lang w:val="en-US"/>
        </w:rPr>
        <w:t>(TP)</w:t>
      </w:r>
      <w:r w:rsidR="00D37701" w:rsidRPr="003C498F">
        <w:rPr>
          <w:rFonts w:ascii="Times New Roman" w:hAnsi="Times New Roman" w:cs="Times New Roman"/>
          <w:iCs/>
          <w:sz w:val="22"/>
          <w:szCs w:val="22"/>
          <w:lang w:val="en-US"/>
        </w:rPr>
        <w:t>,</w:t>
      </w:r>
      <w:r w:rsidRPr="003C498F">
        <w:rPr>
          <w:rFonts w:ascii="Times New Roman" w:hAnsi="Times New Roman" w:cs="Times New Roman"/>
          <w:iCs/>
          <w:sz w:val="22"/>
          <w:szCs w:val="22"/>
          <w:lang w:val="en-US"/>
        </w:rPr>
        <w:t xml:space="preserve"> </w:t>
      </w:r>
      <w:r w:rsidR="00D37701" w:rsidRPr="003C498F">
        <w:rPr>
          <w:rFonts w:ascii="Times New Roman" w:hAnsi="Times New Roman" w:cs="Times New Roman"/>
          <w:iCs/>
          <w:sz w:val="22"/>
          <w:szCs w:val="22"/>
          <w:lang w:val="en-US"/>
        </w:rPr>
        <w:t>is</w:t>
      </w:r>
      <w:r w:rsidR="005A7E79" w:rsidRPr="003C498F">
        <w:rPr>
          <w:rFonts w:ascii="Times New Roman" w:hAnsi="Times New Roman" w:cs="Times New Roman"/>
          <w:iCs/>
          <w:sz w:val="22"/>
          <w:szCs w:val="22"/>
          <w:lang w:val="en-US"/>
        </w:rPr>
        <w:t xml:space="preserve"> based on n</w:t>
      </w:r>
      <w:r w:rsidR="0048655C">
        <w:rPr>
          <w:rFonts w:ascii="Times New Roman" w:hAnsi="Times New Roman" w:cs="Times New Roman"/>
          <w:iCs/>
          <w:sz w:val="22"/>
          <w:szCs w:val="22"/>
          <w:lang w:val="en-US"/>
        </w:rPr>
        <w:t>on</w:t>
      </w:r>
      <w:r w:rsidR="00D37701" w:rsidRPr="003C498F">
        <w:rPr>
          <w:rFonts w:ascii="Times New Roman" w:hAnsi="Times New Roman" w:cs="Times New Roman"/>
          <w:iCs/>
          <w:sz w:val="22"/>
          <w:szCs w:val="22"/>
          <w:lang w:val="en-US"/>
        </w:rPr>
        <w:t xml:space="preserve">aqueous synthetic processes and </w:t>
      </w:r>
      <w:r w:rsidR="005A7E79" w:rsidRPr="003C498F">
        <w:rPr>
          <w:rFonts w:ascii="Times New Roman" w:hAnsi="Times New Roman" w:cs="Times New Roman"/>
          <w:sz w:val="22"/>
          <w:szCs w:val="22"/>
          <w:lang w:val="en-US"/>
        </w:rPr>
        <w:t>give</w:t>
      </w:r>
      <w:r w:rsidR="00D37701" w:rsidRPr="003C498F">
        <w:rPr>
          <w:rFonts w:ascii="Times New Roman" w:hAnsi="Times New Roman" w:cs="Times New Roman"/>
          <w:sz w:val="22"/>
          <w:szCs w:val="22"/>
          <w:lang w:val="en-US"/>
        </w:rPr>
        <w:t>s</w:t>
      </w:r>
      <w:r w:rsidR="005A7E79" w:rsidRPr="003C498F">
        <w:rPr>
          <w:rFonts w:ascii="Times New Roman" w:hAnsi="Times New Roman" w:cs="Times New Roman"/>
          <w:sz w:val="22"/>
          <w:szCs w:val="22"/>
          <w:lang w:val="en-US"/>
        </w:rPr>
        <w:t xml:space="preserve"> access to domain sizes below 3 nm for meta</w:t>
      </w:r>
      <w:r w:rsidR="00D37701" w:rsidRPr="003C498F">
        <w:rPr>
          <w:rFonts w:ascii="Times New Roman" w:hAnsi="Times New Roman" w:cs="Times New Roman"/>
          <w:sz w:val="22"/>
          <w:szCs w:val="22"/>
          <w:lang w:val="en-US"/>
        </w:rPr>
        <w:t xml:space="preserve">l oxide based organic-inorganic </w:t>
      </w:r>
      <w:r w:rsidR="005A7E79" w:rsidRPr="003C498F">
        <w:rPr>
          <w:rFonts w:ascii="Times New Roman" w:hAnsi="Times New Roman" w:cs="Times New Roman"/>
          <w:sz w:val="22"/>
          <w:szCs w:val="22"/>
          <w:lang w:val="en-US"/>
        </w:rPr>
        <w:t>composites.</w:t>
      </w:r>
      <w:r w:rsidR="005A7E79" w:rsidRPr="003C498F">
        <w:rPr>
          <w:rFonts w:ascii="Times New Roman" w:hAnsi="Times New Roman" w:cs="Times New Roman"/>
          <w:iCs/>
          <w:sz w:val="22"/>
          <w:szCs w:val="22"/>
          <w:lang w:val="en-US"/>
        </w:rPr>
        <w:t xml:space="preserve"> </w:t>
      </w:r>
      <w:r w:rsidR="005A7E79" w:rsidRPr="003C498F">
        <w:rPr>
          <w:rFonts w:ascii="Times New Roman" w:hAnsi="Times New Roman" w:cs="Times New Roman"/>
          <w:sz w:val="22"/>
          <w:szCs w:val="22"/>
          <w:lang w:val="en-US"/>
        </w:rPr>
        <w:t>For example</w:t>
      </w:r>
      <w:r w:rsidRPr="003C498F">
        <w:rPr>
          <w:rFonts w:ascii="Times New Roman" w:hAnsi="Times New Roman" w:cs="Times New Roman"/>
          <w:sz w:val="22"/>
          <w:szCs w:val="22"/>
          <w:lang w:val="en-US"/>
        </w:rPr>
        <w:t xml:space="preserve">, </w:t>
      </w:r>
      <w:r w:rsidRPr="003C498F">
        <w:rPr>
          <w:rFonts w:ascii="Times New Roman" w:hAnsi="Times New Roman" w:cs="Times New Roman"/>
          <w:i/>
          <w:iCs/>
          <w:sz w:val="22"/>
          <w:szCs w:val="22"/>
          <w:lang w:val="en-US"/>
        </w:rPr>
        <w:t xml:space="preserve">Twin Polymerization </w:t>
      </w:r>
      <w:r w:rsidRPr="003C498F">
        <w:rPr>
          <w:rFonts w:ascii="Times New Roman" w:hAnsi="Times New Roman" w:cs="Times New Roman"/>
          <w:sz w:val="22"/>
          <w:szCs w:val="22"/>
          <w:lang w:val="en-US"/>
        </w:rPr>
        <w:t>of 2</w:t>
      </w:r>
      <w:proofErr w:type="gramStart"/>
      <w:r w:rsidRPr="003C498F">
        <w:rPr>
          <w:rFonts w:ascii="Times New Roman" w:hAnsi="Times New Roman" w:cs="Times New Roman"/>
          <w:sz w:val="22"/>
          <w:szCs w:val="22"/>
          <w:lang w:val="en-US"/>
        </w:rPr>
        <w:t>,2’</w:t>
      </w:r>
      <w:proofErr w:type="gramEnd"/>
      <w:r w:rsidRPr="003C498F">
        <w:rPr>
          <w:rFonts w:ascii="Times New Roman" w:hAnsi="Times New Roman" w:cs="Times New Roman"/>
          <w:sz w:val="22"/>
          <w:szCs w:val="22"/>
          <w:lang w:val="en-US"/>
        </w:rPr>
        <w:t>-Spirobi[4</w:t>
      </w:r>
      <w:r w:rsidRPr="003C498F">
        <w:rPr>
          <w:rFonts w:ascii="Times New Roman" w:hAnsi="Times New Roman" w:cs="Times New Roman"/>
          <w:i/>
          <w:iCs/>
          <w:sz w:val="22"/>
          <w:szCs w:val="22"/>
          <w:lang w:val="en-US"/>
        </w:rPr>
        <w:t>H</w:t>
      </w:r>
      <w:r w:rsidRPr="003C498F">
        <w:rPr>
          <w:rFonts w:ascii="Times New Roman" w:hAnsi="Times New Roman" w:cs="Times New Roman"/>
          <w:sz w:val="22"/>
          <w:szCs w:val="22"/>
          <w:lang w:val="en-US"/>
        </w:rPr>
        <w:t xml:space="preserve">-1,3,2-benzodioxasiline] </w:t>
      </w:r>
      <w:r w:rsidR="00227AA5" w:rsidRPr="003C498F">
        <w:rPr>
          <w:rFonts w:ascii="Times New Roman" w:hAnsi="Times New Roman" w:cs="Times New Roman"/>
          <w:sz w:val="22"/>
          <w:szCs w:val="22"/>
          <w:lang w:val="en-US"/>
        </w:rPr>
        <w:t>provides</w:t>
      </w:r>
      <w:r w:rsidRPr="003C498F">
        <w:rPr>
          <w:rFonts w:ascii="Times New Roman" w:hAnsi="Times New Roman" w:cs="Times New Roman"/>
          <w:sz w:val="22"/>
          <w:szCs w:val="22"/>
          <w:lang w:val="en-US"/>
        </w:rPr>
        <w:t xml:space="preserve"> a composite material composed of interpenetrating SiO</w:t>
      </w:r>
      <w:r w:rsidRPr="003C498F">
        <w:rPr>
          <w:rFonts w:ascii="Times New Roman" w:hAnsi="Times New Roman" w:cs="Times New Roman"/>
          <w:sz w:val="22"/>
          <w:szCs w:val="22"/>
          <w:vertAlign w:val="subscript"/>
          <w:lang w:val="en-US"/>
        </w:rPr>
        <w:t>2</w:t>
      </w:r>
      <w:r w:rsidRPr="003C498F">
        <w:rPr>
          <w:rFonts w:ascii="Times New Roman" w:hAnsi="Times New Roman" w:cs="Times New Roman"/>
          <w:sz w:val="22"/>
          <w:szCs w:val="22"/>
          <w:lang w:val="en-US"/>
        </w:rPr>
        <w:t>/Phenol resin networks with defined nanostructured domains of 0.5 to 3 nm. Oxidation of this composite material provides highly porous SiO</w:t>
      </w:r>
      <w:r w:rsidRPr="003C498F">
        <w:rPr>
          <w:rFonts w:ascii="Times New Roman" w:hAnsi="Times New Roman" w:cs="Times New Roman"/>
          <w:sz w:val="22"/>
          <w:szCs w:val="22"/>
          <w:vertAlign w:val="subscript"/>
          <w:lang w:val="en-US"/>
        </w:rPr>
        <w:t>2</w:t>
      </w:r>
      <w:r w:rsidRPr="003C498F">
        <w:rPr>
          <w:rFonts w:ascii="Times New Roman" w:hAnsi="Times New Roman" w:cs="Times New Roman"/>
          <w:sz w:val="22"/>
          <w:szCs w:val="22"/>
          <w:lang w:val="en-US"/>
        </w:rPr>
        <w:t>, while carbonization and consecutive removal of SiO</w:t>
      </w:r>
      <w:r w:rsidRPr="003C498F">
        <w:rPr>
          <w:rFonts w:ascii="Times New Roman" w:hAnsi="Times New Roman" w:cs="Times New Roman"/>
          <w:sz w:val="22"/>
          <w:szCs w:val="22"/>
          <w:vertAlign w:val="subscript"/>
          <w:lang w:val="en-US"/>
        </w:rPr>
        <w:t xml:space="preserve">2 </w:t>
      </w:r>
      <w:r w:rsidRPr="003C498F">
        <w:rPr>
          <w:rFonts w:ascii="Times New Roman" w:hAnsi="Times New Roman" w:cs="Times New Roman"/>
          <w:sz w:val="22"/>
          <w:szCs w:val="22"/>
          <w:lang w:val="en-US"/>
        </w:rPr>
        <w:t xml:space="preserve">gives </w:t>
      </w:r>
      <w:proofErr w:type="spellStart"/>
      <w:r w:rsidRPr="003C498F">
        <w:rPr>
          <w:rFonts w:ascii="Times New Roman" w:hAnsi="Times New Roman" w:cs="Times New Roman"/>
          <w:sz w:val="22"/>
          <w:szCs w:val="22"/>
          <w:lang w:val="en-US"/>
        </w:rPr>
        <w:t>microporous</w:t>
      </w:r>
      <w:proofErr w:type="spellEnd"/>
      <w:r w:rsidRPr="003C498F">
        <w:rPr>
          <w:rFonts w:ascii="Times New Roman" w:hAnsi="Times New Roman" w:cs="Times New Roman"/>
          <w:sz w:val="22"/>
          <w:szCs w:val="22"/>
          <w:lang w:val="en-US"/>
        </w:rPr>
        <w:t xml:space="preserve"> carbon. </w:t>
      </w:r>
      <w:r w:rsidR="00227AA5" w:rsidRPr="003C498F">
        <w:rPr>
          <w:rFonts w:ascii="Times New Roman" w:hAnsi="Times New Roman" w:cs="Times New Roman"/>
          <w:sz w:val="22"/>
          <w:szCs w:val="22"/>
          <w:lang w:val="en-US"/>
        </w:rPr>
        <w:t>This</w:t>
      </w:r>
      <w:r w:rsidR="005A7E79" w:rsidRPr="003C498F">
        <w:rPr>
          <w:rFonts w:ascii="Times New Roman" w:hAnsi="Times New Roman" w:cs="Times New Roman"/>
          <w:sz w:val="22"/>
          <w:szCs w:val="22"/>
          <w:lang w:val="en-US"/>
        </w:rPr>
        <w:t xml:space="preserve"> modular approach also gives access to metal oxide nanoparticles. Here, t</w:t>
      </w:r>
      <w:r w:rsidRPr="003C498F">
        <w:rPr>
          <w:rFonts w:ascii="Times New Roman" w:hAnsi="Times New Roman" w:cs="Times New Roman"/>
          <w:sz w:val="22"/>
          <w:szCs w:val="22"/>
          <w:lang w:val="en-US"/>
        </w:rPr>
        <w:t xml:space="preserve">he synthesis and reaction behavior of diverse novel monomers including main group elements such as Si, </w:t>
      </w:r>
      <w:proofErr w:type="spellStart"/>
      <w:r w:rsidRPr="003C498F">
        <w:rPr>
          <w:rFonts w:ascii="Times New Roman" w:hAnsi="Times New Roman" w:cs="Times New Roman"/>
          <w:sz w:val="22"/>
          <w:szCs w:val="22"/>
          <w:lang w:val="en-US"/>
        </w:rPr>
        <w:t>Ge</w:t>
      </w:r>
      <w:proofErr w:type="spellEnd"/>
      <w:r w:rsidRPr="003C498F">
        <w:rPr>
          <w:rFonts w:ascii="Times New Roman" w:hAnsi="Times New Roman" w:cs="Times New Roman"/>
          <w:sz w:val="22"/>
          <w:szCs w:val="22"/>
          <w:lang w:val="en-US"/>
        </w:rPr>
        <w:t xml:space="preserve">, </w:t>
      </w:r>
      <w:proofErr w:type="spellStart"/>
      <w:r w:rsidRPr="003C498F">
        <w:rPr>
          <w:rFonts w:ascii="Times New Roman" w:hAnsi="Times New Roman" w:cs="Times New Roman"/>
          <w:sz w:val="22"/>
          <w:szCs w:val="22"/>
          <w:lang w:val="en-US"/>
        </w:rPr>
        <w:t>Sn</w:t>
      </w:r>
      <w:proofErr w:type="spellEnd"/>
      <w:r w:rsidRPr="003C498F">
        <w:rPr>
          <w:rFonts w:ascii="Times New Roman" w:hAnsi="Times New Roman" w:cs="Times New Roman"/>
          <w:sz w:val="22"/>
          <w:szCs w:val="22"/>
          <w:lang w:val="en-US"/>
        </w:rPr>
        <w:t xml:space="preserve">, </w:t>
      </w:r>
      <w:proofErr w:type="gramStart"/>
      <w:r w:rsidRPr="003C498F">
        <w:rPr>
          <w:rFonts w:ascii="Times New Roman" w:hAnsi="Times New Roman" w:cs="Times New Roman"/>
          <w:sz w:val="22"/>
          <w:szCs w:val="22"/>
          <w:lang w:val="en-US"/>
        </w:rPr>
        <w:t>Bi</w:t>
      </w:r>
      <w:proofErr w:type="gramEnd"/>
      <w:r w:rsidRPr="003C498F">
        <w:rPr>
          <w:rFonts w:ascii="Times New Roman" w:hAnsi="Times New Roman" w:cs="Times New Roman"/>
          <w:sz w:val="22"/>
          <w:szCs w:val="22"/>
          <w:lang w:val="en-US"/>
        </w:rPr>
        <w:t xml:space="preserve">, In etc. </w:t>
      </w:r>
      <w:r w:rsidR="00227AA5" w:rsidRPr="003C498F">
        <w:rPr>
          <w:rFonts w:ascii="Times New Roman" w:hAnsi="Times New Roman" w:cs="Times New Roman"/>
          <w:sz w:val="22"/>
          <w:szCs w:val="22"/>
          <w:lang w:val="en-US"/>
        </w:rPr>
        <w:t xml:space="preserve">is presented and their use </w:t>
      </w:r>
      <w:r w:rsidRPr="003C498F">
        <w:rPr>
          <w:rFonts w:ascii="Times New Roman" w:hAnsi="Times New Roman" w:cs="Times New Roman"/>
          <w:sz w:val="22"/>
          <w:szCs w:val="22"/>
          <w:lang w:val="en-US"/>
        </w:rPr>
        <w:t xml:space="preserve">with regard to </w:t>
      </w:r>
      <w:r w:rsidRPr="003C498F">
        <w:rPr>
          <w:rFonts w:ascii="Times New Roman" w:hAnsi="Times New Roman" w:cs="Times New Roman"/>
          <w:i/>
          <w:iCs/>
          <w:sz w:val="22"/>
          <w:szCs w:val="22"/>
          <w:lang w:val="en-US"/>
        </w:rPr>
        <w:t>Twin Polymerization</w:t>
      </w:r>
      <w:r w:rsidR="00D37701" w:rsidRPr="003C498F">
        <w:rPr>
          <w:rFonts w:ascii="Times New Roman" w:hAnsi="Times New Roman" w:cs="Times New Roman"/>
          <w:iCs/>
          <w:sz w:val="22"/>
          <w:szCs w:val="22"/>
          <w:lang w:val="en-US"/>
        </w:rPr>
        <w:t xml:space="preserve"> and the related </w:t>
      </w:r>
      <w:r w:rsidR="00D37701" w:rsidRPr="003C498F">
        <w:rPr>
          <w:rFonts w:ascii="Times New Roman" w:hAnsi="Times New Roman" w:cs="Times New Roman"/>
          <w:i/>
          <w:iCs/>
          <w:sz w:val="22"/>
          <w:szCs w:val="22"/>
          <w:lang w:val="en-US"/>
        </w:rPr>
        <w:t>Simultaneous Twin Polymerization</w:t>
      </w:r>
      <w:r w:rsidR="00D37701" w:rsidRPr="003C498F">
        <w:rPr>
          <w:rFonts w:ascii="Times New Roman" w:hAnsi="Times New Roman" w:cs="Times New Roman"/>
          <w:iCs/>
          <w:sz w:val="22"/>
          <w:szCs w:val="22"/>
          <w:lang w:val="en-US"/>
        </w:rPr>
        <w:t xml:space="preserve"> </w:t>
      </w:r>
      <w:r w:rsidRPr="003C498F">
        <w:rPr>
          <w:rFonts w:ascii="Times New Roman" w:hAnsi="Times New Roman" w:cs="Times New Roman"/>
          <w:sz w:val="22"/>
          <w:szCs w:val="22"/>
          <w:lang w:val="en-US"/>
        </w:rPr>
        <w:t>will be focused on. The as-prepared organic-inorganic composite materials and metal oxide nanoparticles were characterized with focus on structure and properties such as porosity, pore size distribution and particle size. In order to support our hypothesis of a reactivity scale</w:t>
      </w:r>
      <w:r w:rsidR="00D37701" w:rsidRPr="003C498F">
        <w:rPr>
          <w:rFonts w:ascii="Times New Roman" w:hAnsi="Times New Roman" w:cs="Times New Roman"/>
          <w:sz w:val="22"/>
          <w:szCs w:val="22"/>
          <w:lang w:val="en-US"/>
        </w:rPr>
        <w:t xml:space="preserve"> of the monomers</w:t>
      </w:r>
      <w:r w:rsidRPr="003C498F">
        <w:rPr>
          <w:rFonts w:ascii="Times New Roman" w:hAnsi="Times New Roman" w:cs="Times New Roman"/>
          <w:sz w:val="22"/>
          <w:szCs w:val="22"/>
          <w:lang w:val="en-US"/>
        </w:rPr>
        <w:t xml:space="preserve"> DFT calculations accompany the experiments in order to obtain a more detailed insight into the first reaction steps of this novel type of synthetic route for organic-inorganic hybrid materials.</w:t>
      </w:r>
    </w:p>
    <w:p w:rsidR="00482ACF" w:rsidRPr="00112F03" w:rsidRDefault="00482ACF" w:rsidP="004D7904">
      <w:pPr>
        <w:pStyle w:val="Default"/>
        <w:spacing w:line="480" w:lineRule="auto"/>
        <w:rPr>
          <w:lang w:val="en-US"/>
        </w:rPr>
      </w:pPr>
    </w:p>
    <w:p w:rsidR="004E4163" w:rsidRPr="00172868" w:rsidRDefault="00482ACF" w:rsidP="00172868">
      <w:pPr>
        <w:spacing w:line="480" w:lineRule="auto"/>
        <w:rPr>
          <w:szCs w:val="20"/>
          <w:lang w:val="de-DE"/>
        </w:rPr>
      </w:pPr>
      <w:r>
        <w:rPr>
          <w:szCs w:val="20"/>
          <w:lang w:val="en-US"/>
        </w:rPr>
        <w:t xml:space="preserve"> [1</w:t>
      </w:r>
      <w:r w:rsidRPr="00444562">
        <w:rPr>
          <w:szCs w:val="20"/>
          <w:lang w:val="en-US"/>
        </w:rPr>
        <w:t>]</w:t>
      </w:r>
      <w:r w:rsidR="004D7904">
        <w:rPr>
          <w:szCs w:val="20"/>
          <w:lang w:val="en-US"/>
        </w:rPr>
        <w:t xml:space="preserve"> </w:t>
      </w:r>
      <w:proofErr w:type="gramStart"/>
      <w:r w:rsidR="004D7904">
        <w:rPr>
          <w:szCs w:val="20"/>
          <w:lang w:val="en-US"/>
        </w:rPr>
        <w:t>selected</w:t>
      </w:r>
      <w:proofErr w:type="gramEnd"/>
      <w:r w:rsidR="004D7904">
        <w:rPr>
          <w:szCs w:val="20"/>
          <w:lang w:val="en-US"/>
        </w:rPr>
        <w:t xml:space="preserve"> examples:</w:t>
      </w:r>
      <w:r w:rsidRPr="00444562">
        <w:rPr>
          <w:szCs w:val="20"/>
          <w:lang w:val="en-US"/>
        </w:rPr>
        <w:t xml:space="preserve"> a) S. Spange, P. </w:t>
      </w:r>
      <w:proofErr w:type="spellStart"/>
      <w:r w:rsidRPr="00444562">
        <w:rPr>
          <w:szCs w:val="20"/>
          <w:lang w:val="en-US"/>
        </w:rPr>
        <w:t>Kempe</w:t>
      </w:r>
      <w:proofErr w:type="spellEnd"/>
      <w:r w:rsidRPr="00444562">
        <w:rPr>
          <w:szCs w:val="20"/>
          <w:lang w:val="en-US"/>
        </w:rPr>
        <w:t xml:space="preserve">, A. Seifert, A. A. Auer, P. </w:t>
      </w:r>
      <w:proofErr w:type="spellStart"/>
      <w:r w:rsidRPr="00444562">
        <w:rPr>
          <w:szCs w:val="20"/>
          <w:lang w:val="en-US"/>
        </w:rPr>
        <w:t>Ecorchard</w:t>
      </w:r>
      <w:proofErr w:type="spellEnd"/>
      <w:r w:rsidRPr="00444562">
        <w:rPr>
          <w:szCs w:val="20"/>
          <w:lang w:val="en-US"/>
        </w:rPr>
        <w:t xml:space="preserve">, H. Lang, M. </w:t>
      </w:r>
      <w:proofErr w:type="spellStart"/>
      <w:r w:rsidRPr="00444562">
        <w:rPr>
          <w:szCs w:val="20"/>
          <w:lang w:val="en-US"/>
        </w:rPr>
        <w:t>Falke</w:t>
      </w:r>
      <w:proofErr w:type="spellEnd"/>
      <w:r w:rsidRPr="00444562">
        <w:rPr>
          <w:szCs w:val="20"/>
          <w:lang w:val="en-US"/>
        </w:rPr>
        <w:t xml:space="preserve">, M. Hietschold, A. </w:t>
      </w:r>
      <w:proofErr w:type="spellStart"/>
      <w:r w:rsidRPr="00444562">
        <w:rPr>
          <w:szCs w:val="20"/>
          <w:lang w:val="en-US"/>
        </w:rPr>
        <w:t>Pohlers</w:t>
      </w:r>
      <w:proofErr w:type="spellEnd"/>
      <w:r w:rsidRPr="00444562">
        <w:rPr>
          <w:szCs w:val="20"/>
          <w:lang w:val="en-US"/>
        </w:rPr>
        <w:t xml:space="preserve">, W. Hoyer, G. Cox, E. </w:t>
      </w:r>
      <w:proofErr w:type="spellStart"/>
      <w:r w:rsidRPr="00444562">
        <w:rPr>
          <w:szCs w:val="20"/>
          <w:lang w:val="en-US"/>
        </w:rPr>
        <w:t>Kockrick</w:t>
      </w:r>
      <w:proofErr w:type="spellEnd"/>
      <w:r w:rsidRPr="00444562">
        <w:rPr>
          <w:szCs w:val="20"/>
          <w:lang w:val="en-US"/>
        </w:rPr>
        <w:t xml:space="preserve"> and S. </w:t>
      </w:r>
      <w:proofErr w:type="spellStart"/>
      <w:r w:rsidRPr="00444562">
        <w:rPr>
          <w:szCs w:val="20"/>
          <w:lang w:val="en-US"/>
        </w:rPr>
        <w:t>Kaskel</w:t>
      </w:r>
      <w:proofErr w:type="spellEnd"/>
      <w:r w:rsidRPr="00444562">
        <w:rPr>
          <w:szCs w:val="20"/>
          <w:lang w:val="en-US"/>
        </w:rPr>
        <w:t xml:space="preserve">, </w:t>
      </w:r>
      <w:proofErr w:type="spellStart"/>
      <w:r w:rsidRPr="00444562">
        <w:rPr>
          <w:i/>
          <w:iCs/>
          <w:szCs w:val="20"/>
          <w:lang w:val="en-US"/>
        </w:rPr>
        <w:t>Angew</w:t>
      </w:r>
      <w:proofErr w:type="spellEnd"/>
      <w:r w:rsidRPr="00444562">
        <w:rPr>
          <w:i/>
          <w:iCs/>
          <w:szCs w:val="20"/>
          <w:lang w:val="en-US"/>
        </w:rPr>
        <w:t xml:space="preserve">. </w:t>
      </w:r>
      <w:r w:rsidRPr="00D65964">
        <w:rPr>
          <w:i/>
          <w:iCs/>
          <w:szCs w:val="20"/>
          <w:lang w:val="de-DE"/>
        </w:rPr>
        <w:t xml:space="preserve">Chem., Int. Ed. </w:t>
      </w:r>
      <w:r w:rsidRPr="00D65964">
        <w:rPr>
          <w:b/>
          <w:bCs/>
          <w:szCs w:val="20"/>
          <w:lang w:val="de-DE"/>
        </w:rPr>
        <w:t>2009</w:t>
      </w:r>
      <w:r w:rsidRPr="00D65964">
        <w:rPr>
          <w:szCs w:val="20"/>
          <w:lang w:val="de-DE"/>
        </w:rPr>
        <w:t xml:space="preserve">, </w:t>
      </w:r>
      <w:r w:rsidRPr="00D65964">
        <w:rPr>
          <w:i/>
          <w:iCs/>
          <w:szCs w:val="20"/>
          <w:lang w:val="de-DE"/>
        </w:rPr>
        <w:t>48</w:t>
      </w:r>
      <w:r w:rsidRPr="00D65964">
        <w:rPr>
          <w:szCs w:val="20"/>
          <w:lang w:val="de-DE"/>
        </w:rPr>
        <w:t>, 8254–8258; b)</w:t>
      </w:r>
      <w:r>
        <w:rPr>
          <w:szCs w:val="20"/>
          <w:lang w:val="de-DE"/>
        </w:rPr>
        <w:t xml:space="preserve"> </w:t>
      </w:r>
      <w:r w:rsidRPr="00D65964">
        <w:rPr>
          <w:szCs w:val="20"/>
          <w:lang w:val="de-DE"/>
        </w:rPr>
        <w:t xml:space="preserve">T. Löschner, A. </w:t>
      </w:r>
      <w:proofErr w:type="spellStart"/>
      <w:r w:rsidRPr="00D65964">
        <w:rPr>
          <w:szCs w:val="20"/>
          <w:lang w:val="de-DE"/>
        </w:rPr>
        <w:t>Mehner</w:t>
      </w:r>
      <w:proofErr w:type="spellEnd"/>
      <w:r w:rsidRPr="00D65964">
        <w:rPr>
          <w:szCs w:val="20"/>
          <w:lang w:val="de-DE"/>
        </w:rPr>
        <w:t xml:space="preserve">, S. Grund, A. Seifert, A. </w:t>
      </w:r>
      <w:proofErr w:type="spellStart"/>
      <w:r w:rsidRPr="00D65964">
        <w:rPr>
          <w:szCs w:val="20"/>
          <w:lang w:val="de-DE"/>
        </w:rPr>
        <w:t>Pohlers</w:t>
      </w:r>
      <w:proofErr w:type="spellEnd"/>
      <w:r w:rsidRPr="00D65964">
        <w:rPr>
          <w:szCs w:val="20"/>
          <w:lang w:val="de-DE"/>
        </w:rPr>
        <w:t xml:space="preserve">, A. Lange, G. Cox, H.-J. </w:t>
      </w:r>
      <w:proofErr w:type="spellStart"/>
      <w:r w:rsidRPr="00D65964">
        <w:rPr>
          <w:szCs w:val="20"/>
          <w:lang w:val="de-DE"/>
        </w:rPr>
        <w:t>Hähnle</w:t>
      </w:r>
      <w:proofErr w:type="spellEnd"/>
      <w:r w:rsidRPr="00D65964">
        <w:rPr>
          <w:szCs w:val="20"/>
          <w:lang w:val="de-DE"/>
        </w:rPr>
        <w:t xml:space="preserve">, S. Spange, </w:t>
      </w:r>
      <w:proofErr w:type="spellStart"/>
      <w:r w:rsidRPr="00D65964">
        <w:rPr>
          <w:i/>
          <w:iCs/>
          <w:szCs w:val="20"/>
          <w:lang w:val="de-DE"/>
        </w:rPr>
        <w:lastRenderedPageBreak/>
        <w:t>Angew</w:t>
      </w:r>
      <w:proofErr w:type="spellEnd"/>
      <w:r w:rsidRPr="00D65964">
        <w:rPr>
          <w:i/>
          <w:iCs/>
          <w:szCs w:val="20"/>
          <w:lang w:val="de-DE"/>
        </w:rPr>
        <w:t xml:space="preserve">. Chem. </w:t>
      </w:r>
      <w:r w:rsidRPr="00A15033">
        <w:rPr>
          <w:i/>
          <w:iCs/>
          <w:szCs w:val="20"/>
          <w:lang w:val="de-DE"/>
        </w:rPr>
        <w:t xml:space="preserve">Int. Ed. </w:t>
      </w:r>
      <w:r w:rsidRPr="00A15033">
        <w:rPr>
          <w:b/>
          <w:bCs/>
          <w:szCs w:val="20"/>
          <w:lang w:val="de-DE"/>
        </w:rPr>
        <w:t>20</w:t>
      </w:r>
      <w:r>
        <w:rPr>
          <w:b/>
          <w:bCs/>
          <w:szCs w:val="20"/>
          <w:lang w:val="de-DE"/>
        </w:rPr>
        <w:t>12</w:t>
      </w:r>
      <w:r w:rsidRPr="00A15033">
        <w:rPr>
          <w:szCs w:val="20"/>
          <w:lang w:val="de-DE"/>
        </w:rPr>
        <w:t xml:space="preserve">, </w:t>
      </w:r>
      <w:r>
        <w:rPr>
          <w:i/>
          <w:iCs/>
          <w:szCs w:val="20"/>
          <w:lang w:val="de-DE"/>
        </w:rPr>
        <w:t>51</w:t>
      </w:r>
      <w:r>
        <w:rPr>
          <w:szCs w:val="20"/>
          <w:lang w:val="de-DE"/>
        </w:rPr>
        <w:t>, 3258</w:t>
      </w:r>
      <w:r w:rsidRPr="00A15033">
        <w:rPr>
          <w:szCs w:val="20"/>
          <w:lang w:val="de-DE"/>
        </w:rPr>
        <w:t>–</w:t>
      </w:r>
      <w:r>
        <w:rPr>
          <w:szCs w:val="20"/>
          <w:lang w:val="de-DE"/>
        </w:rPr>
        <w:t>3261;</w:t>
      </w:r>
      <w:r>
        <w:rPr>
          <w:b/>
          <w:bCs/>
          <w:szCs w:val="20"/>
          <w:lang w:val="de-DE"/>
        </w:rPr>
        <w:t xml:space="preserve"> </w:t>
      </w:r>
      <w:r w:rsidRPr="00D65964">
        <w:rPr>
          <w:szCs w:val="20"/>
          <w:lang w:val="de-DE"/>
        </w:rPr>
        <w:t xml:space="preserve">c) F. Böttger-Hiller, R. </w:t>
      </w:r>
      <w:proofErr w:type="spellStart"/>
      <w:r w:rsidRPr="00D65964">
        <w:rPr>
          <w:szCs w:val="20"/>
          <w:lang w:val="de-DE"/>
        </w:rPr>
        <w:t>Lungwitz</w:t>
      </w:r>
      <w:proofErr w:type="spellEnd"/>
      <w:r w:rsidRPr="00D65964">
        <w:rPr>
          <w:szCs w:val="20"/>
          <w:lang w:val="de-DE"/>
        </w:rPr>
        <w:t xml:space="preserve">, A. Seifert, M. Hietschold, M. Schlesinger, M. Mehring, S. Spange, </w:t>
      </w:r>
      <w:proofErr w:type="spellStart"/>
      <w:r w:rsidRPr="00D65964">
        <w:rPr>
          <w:i/>
          <w:iCs/>
          <w:szCs w:val="20"/>
          <w:lang w:val="de-DE"/>
        </w:rPr>
        <w:t>Angew</w:t>
      </w:r>
      <w:proofErr w:type="spellEnd"/>
      <w:r w:rsidRPr="00D65964">
        <w:rPr>
          <w:i/>
          <w:iCs/>
          <w:szCs w:val="20"/>
          <w:lang w:val="de-DE"/>
        </w:rPr>
        <w:t xml:space="preserve">. </w:t>
      </w:r>
      <w:r w:rsidRPr="00A15033">
        <w:rPr>
          <w:i/>
          <w:iCs/>
          <w:szCs w:val="20"/>
          <w:lang w:val="de-DE"/>
        </w:rPr>
        <w:t xml:space="preserve">Chem. Int. Ed. </w:t>
      </w:r>
      <w:r w:rsidRPr="00A15033">
        <w:rPr>
          <w:b/>
          <w:bCs/>
          <w:szCs w:val="20"/>
          <w:lang w:val="de-DE"/>
        </w:rPr>
        <w:t>2009</w:t>
      </w:r>
      <w:r w:rsidRPr="00A15033">
        <w:rPr>
          <w:szCs w:val="20"/>
          <w:lang w:val="de-DE"/>
        </w:rPr>
        <w:t xml:space="preserve">, </w:t>
      </w:r>
      <w:r w:rsidRPr="00A15033">
        <w:rPr>
          <w:i/>
          <w:iCs/>
          <w:szCs w:val="20"/>
          <w:lang w:val="de-DE"/>
        </w:rPr>
        <w:t>48</w:t>
      </w:r>
      <w:r w:rsidRPr="00A15033">
        <w:rPr>
          <w:szCs w:val="20"/>
          <w:lang w:val="de-DE"/>
        </w:rPr>
        <w:t>, 8878–8881</w:t>
      </w:r>
      <w:r w:rsidR="004D7904">
        <w:rPr>
          <w:szCs w:val="20"/>
          <w:lang w:val="de-DE"/>
        </w:rPr>
        <w:t xml:space="preserve">; </w:t>
      </w:r>
      <w:r w:rsidR="00172868">
        <w:rPr>
          <w:szCs w:val="20"/>
          <w:lang w:val="de-DE"/>
        </w:rPr>
        <w:t xml:space="preserve">g) </w:t>
      </w:r>
      <w:r w:rsidR="00172868" w:rsidRPr="00172868">
        <w:rPr>
          <w:szCs w:val="20"/>
          <w:lang w:val="de-DE"/>
        </w:rPr>
        <w:t xml:space="preserve">C. Leonhardt, S. Brumm, A. Seifert, G. Cox, A. Lange, T. Rüffer, D. Schaarschmidt, H. Lang, N. </w:t>
      </w:r>
      <w:proofErr w:type="spellStart"/>
      <w:r w:rsidR="00172868" w:rsidRPr="00172868">
        <w:rPr>
          <w:szCs w:val="20"/>
          <w:lang w:val="de-DE"/>
        </w:rPr>
        <w:t>Jöhrmann</w:t>
      </w:r>
      <w:proofErr w:type="spellEnd"/>
      <w:r w:rsidR="00172868" w:rsidRPr="00172868">
        <w:rPr>
          <w:szCs w:val="20"/>
          <w:lang w:val="de-DE"/>
        </w:rPr>
        <w:t>, M. Hi</w:t>
      </w:r>
      <w:r w:rsidR="00172868">
        <w:rPr>
          <w:szCs w:val="20"/>
          <w:lang w:val="de-DE"/>
        </w:rPr>
        <w:t xml:space="preserve">etschold, F. Simon, M. Mehring, </w:t>
      </w:r>
      <w:proofErr w:type="spellStart"/>
      <w:r w:rsidR="00172868" w:rsidRPr="00172868">
        <w:rPr>
          <w:szCs w:val="20"/>
          <w:lang w:val="de-DE"/>
        </w:rPr>
        <w:t>ChemPlusChem</w:t>
      </w:r>
      <w:proofErr w:type="spellEnd"/>
      <w:r w:rsidR="00172868" w:rsidRPr="00172868">
        <w:rPr>
          <w:szCs w:val="20"/>
          <w:lang w:val="de-DE"/>
        </w:rPr>
        <w:t xml:space="preserve"> 2013, DOI: 10.1002/cplu.201200242</w:t>
      </w:r>
    </w:p>
    <w:sectPr w:rsidR="004E4163" w:rsidRPr="00172868" w:rsidSect="004E41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08"/>
  <w:hyphenationZone w:val="425"/>
  <w:characterSpacingControl w:val="doNotCompress"/>
  <w:compat>
    <w:compatSetting w:name="compatibilityMode" w:uri="http://schemas.microsoft.com/office/word" w:val="12"/>
  </w:compat>
  <w:rsids>
    <w:rsidRoot w:val="00482ACF"/>
    <w:rsid w:val="00172868"/>
    <w:rsid w:val="00227AA5"/>
    <w:rsid w:val="003C498F"/>
    <w:rsid w:val="00482ACF"/>
    <w:rsid w:val="0048655C"/>
    <w:rsid w:val="004D7904"/>
    <w:rsid w:val="004E4163"/>
    <w:rsid w:val="00561DB4"/>
    <w:rsid w:val="005A7E79"/>
    <w:rsid w:val="005B0E2B"/>
    <w:rsid w:val="00951034"/>
    <w:rsid w:val="00C2562B"/>
    <w:rsid w:val="00D37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2ACF"/>
    <w:pPr>
      <w:spacing w:after="0" w:line="240" w:lineRule="auto"/>
    </w:pPr>
    <w:rPr>
      <w:rFonts w:ascii="Times New Roman" w:eastAsia="Times New Roman" w:hAnsi="Times New Roman" w:cs="Times New Roman"/>
      <w:sz w:val="20"/>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82ACF"/>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2232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Mehring</dc:creator>
  <cp:lastModifiedBy>pinkas</cp:lastModifiedBy>
  <cp:revision>2</cp:revision>
  <cp:lastPrinted>2013-10-07T06:46:00Z</cp:lastPrinted>
  <dcterms:created xsi:type="dcterms:W3CDTF">2013-10-07T07:22:00Z</dcterms:created>
  <dcterms:modified xsi:type="dcterms:W3CDTF">2013-10-07T07:22:00Z</dcterms:modified>
</cp:coreProperties>
</file>