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Look w:val="04A0" w:firstRow="1" w:lastRow="0" w:firstColumn="1" w:lastColumn="0" w:noHBand="0" w:noVBand="1"/>
      </w:tblPr>
      <w:tblGrid>
        <w:gridCol w:w="1807"/>
        <w:gridCol w:w="6113"/>
        <w:gridCol w:w="1800"/>
      </w:tblGrid>
      <w:tr w:rsidR="000A34F6" w:rsidRPr="000A34F6" w:rsidTr="005E0139">
        <w:trPr>
          <w:trHeight w:val="1432"/>
        </w:trPr>
        <w:tc>
          <w:tcPr>
            <w:tcW w:w="1807" w:type="dxa"/>
            <w:shd w:val="clear" w:color="auto" w:fill="auto"/>
          </w:tcPr>
          <w:p w:rsidR="000A34F6" w:rsidRPr="000A34F6" w:rsidRDefault="000A34F6" w:rsidP="005E0139">
            <w:pPr>
              <w:ind w:left="-108" w:firstLine="108"/>
              <w:rPr>
                <w:rFonts w:ascii="Cambria" w:hAnsi="Cambria" w:cstheme="minorHAnsi"/>
                <w:b/>
                <w:smallCaps/>
                <w:sz w:val="48"/>
                <w:szCs w:val="44"/>
              </w:rPr>
            </w:pPr>
            <w:bookmarkStart w:id="0" w:name="_GoBack"/>
            <w:bookmarkEnd w:id="0"/>
            <w:r w:rsidRPr="000A34F6">
              <w:rPr>
                <w:rFonts w:ascii="Cambria" w:hAnsi="Cambria" w:cstheme="minorHAnsi"/>
                <w:b/>
                <w:smallCaps/>
                <w:noProof/>
                <w:sz w:val="48"/>
                <w:szCs w:val="44"/>
                <w:lang w:eastAsia="cs-CZ"/>
              </w:rPr>
              <w:drawing>
                <wp:inline distT="0" distB="0" distL="0" distR="0">
                  <wp:extent cx="1009650" cy="1009650"/>
                  <wp:effectExtent l="19050" t="0" r="0" b="0"/>
                  <wp:docPr id="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34F6" w:rsidRPr="000A34F6" w:rsidRDefault="000A34F6" w:rsidP="005E0139">
            <w:pPr>
              <w:ind w:right="-42"/>
              <w:jc w:val="center"/>
              <w:rPr>
                <w:rFonts w:ascii="Cambria" w:hAnsi="Cambria" w:cstheme="minorHAnsi"/>
                <w:b/>
                <w:smallCaps/>
                <w:sz w:val="40"/>
                <w:szCs w:val="40"/>
              </w:rPr>
            </w:pPr>
            <w:r w:rsidRPr="000A34F6">
              <w:rPr>
                <w:rFonts w:ascii="Cambria" w:hAnsi="Cambria" w:cstheme="minorHAnsi"/>
                <w:b/>
                <w:smallCaps/>
                <w:sz w:val="40"/>
                <w:szCs w:val="40"/>
              </w:rPr>
              <w:t>MASARYKOVA UNIVERZITA</w:t>
            </w:r>
          </w:p>
          <w:p w:rsidR="000A34F6" w:rsidRPr="000A34F6" w:rsidRDefault="000A34F6" w:rsidP="000A34F6">
            <w:pPr>
              <w:ind w:right="-42"/>
              <w:jc w:val="center"/>
              <w:rPr>
                <w:rFonts w:ascii="Cambria" w:hAnsi="Cambria" w:cstheme="minorHAnsi"/>
                <w:b/>
                <w:smallCaps/>
                <w:sz w:val="34"/>
                <w:szCs w:val="34"/>
              </w:rPr>
            </w:pPr>
            <w:r w:rsidRPr="000A34F6">
              <w:rPr>
                <w:rFonts w:ascii="Cambria" w:hAnsi="Cambria" w:cstheme="minorHAnsi"/>
                <w:b/>
                <w:smallCaps/>
                <w:sz w:val="38"/>
                <w:szCs w:val="38"/>
              </w:rPr>
              <w:t>Přírodovědecká fakulta</w:t>
            </w:r>
          </w:p>
        </w:tc>
        <w:tc>
          <w:tcPr>
            <w:tcW w:w="1800" w:type="dxa"/>
            <w:shd w:val="clear" w:color="auto" w:fill="auto"/>
          </w:tcPr>
          <w:p w:rsidR="000A34F6" w:rsidRPr="000A34F6" w:rsidRDefault="000A34F6" w:rsidP="005E0139">
            <w:pPr>
              <w:ind w:left="-5868"/>
              <w:jc w:val="right"/>
              <w:rPr>
                <w:rFonts w:ascii="Cambria" w:hAnsi="Cambria" w:cstheme="minorHAnsi"/>
                <w:b/>
                <w:smallCaps/>
                <w:sz w:val="48"/>
                <w:szCs w:val="44"/>
              </w:rPr>
            </w:pPr>
            <w:r w:rsidRPr="000A34F6">
              <w:rPr>
                <w:rFonts w:ascii="Cambria" w:hAnsi="Cambria" w:cstheme="minorHAnsi"/>
                <w:b/>
                <w:smallCaps/>
                <w:noProof/>
                <w:sz w:val="48"/>
                <w:szCs w:val="44"/>
                <w:lang w:eastAsia="cs-CZ"/>
              </w:rPr>
              <w:drawing>
                <wp:inline distT="0" distB="0" distL="0" distR="0">
                  <wp:extent cx="1009650" cy="1009650"/>
                  <wp:effectExtent l="19050" t="0" r="0" b="0"/>
                  <wp:docPr id="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4F6" w:rsidRPr="000A34F6" w:rsidRDefault="000A34F6" w:rsidP="000A34F6">
      <w:pPr>
        <w:jc w:val="center"/>
        <w:rPr>
          <w:rFonts w:ascii="Cambria" w:hAnsi="Cambria" w:cstheme="minorHAnsi"/>
          <w:b/>
          <w:smallCaps/>
          <w:sz w:val="48"/>
          <w:szCs w:val="44"/>
        </w:rPr>
      </w:pPr>
    </w:p>
    <w:p w:rsidR="000A34F6" w:rsidRPr="000A34F6" w:rsidRDefault="000A34F6" w:rsidP="000A34F6">
      <w:pPr>
        <w:jc w:val="center"/>
        <w:rPr>
          <w:rFonts w:ascii="Cambria" w:hAnsi="Cambria" w:cstheme="minorHAnsi"/>
          <w:b/>
          <w:smallCaps/>
          <w:sz w:val="48"/>
          <w:szCs w:val="44"/>
        </w:rPr>
      </w:pPr>
    </w:p>
    <w:p w:rsidR="000A34F6" w:rsidRPr="000A34F6" w:rsidRDefault="000A34F6" w:rsidP="000A34F6">
      <w:pPr>
        <w:jc w:val="center"/>
        <w:rPr>
          <w:rFonts w:ascii="Cambria" w:hAnsi="Cambria" w:cstheme="minorHAnsi"/>
          <w:b/>
          <w:smallCaps/>
          <w:sz w:val="48"/>
          <w:szCs w:val="44"/>
        </w:rPr>
      </w:pPr>
    </w:p>
    <w:p w:rsidR="000A34F6" w:rsidRPr="000A34F6" w:rsidRDefault="000A34F6" w:rsidP="000A34F6">
      <w:pPr>
        <w:jc w:val="center"/>
        <w:rPr>
          <w:rFonts w:ascii="Cambria" w:hAnsi="Cambria" w:cstheme="minorHAnsi"/>
          <w:b/>
          <w:smallCaps/>
          <w:sz w:val="48"/>
          <w:szCs w:val="44"/>
        </w:rPr>
      </w:pPr>
    </w:p>
    <w:p w:rsidR="000A34F6" w:rsidRPr="000A34F6" w:rsidRDefault="000A34F6" w:rsidP="000A34F6">
      <w:pPr>
        <w:rPr>
          <w:rFonts w:ascii="Cambria" w:hAnsi="Cambria" w:cstheme="minorHAnsi"/>
          <w:b/>
          <w:smallCaps/>
          <w:sz w:val="48"/>
          <w:szCs w:val="44"/>
        </w:rPr>
      </w:pPr>
    </w:p>
    <w:p w:rsidR="000A34F6" w:rsidRPr="000A34F6" w:rsidRDefault="000A34F6" w:rsidP="000A34F6">
      <w:pPr>
        <w:spacing w:after="120"/>
        <w:jc w:val="center"/>
        <w:rPr>
          <w:rFonts w:ascii="Cambria" w:hAnsi="Cambria" w:cstheme="minorHAnsi"/>
          <w:sz w:val="48"/>
          <w:szCs w:val="44"/>
        </w:rPr>
      </w:pPr>
      <w:r w:rsidRPr="000A34F6">
        <w:rPr>
          <w:rFonts w:ascii="Cambria" w:hAnsi="Cambria" w:cstheme="minorHAnsi"/>
          <w:b/>
          <w:smallCaps/>
          <w:sz w:val="72"/>
          <w:szCs w:val="72"/>
        </w:rPr>
        <w:t>Whole effluent assessment (wea)</w:t>
      </w:r>
    </w:p>
    <w:p w:rsidR="000A34F6" w:rsidRPr="000A34F6" w:rsidRDefault="000A34F6" w:rsidP="000A34F6">
      <w:pPr>
        <w:spacing w:after="240"/>
        <w:rPr>
          <w:rFonts w:ascii="Cambria" w:hAnsi="Cambria" w:cstheme="minorHAnsi"/>
          <w:sz w:val="48"/>
          <w:szCs w:val="44"/>
        </w:rPr>
      </w:pPr>
    </w:p>
    <w:p w:rsidR="000A34F6" w:rsidRPr="006C1DF3" w:rsidRDefault="000A34F6" w:rsidP="006C1DF3">
      <w:pPr>
        <w:spacing w:after="240"/>
        <w:jc w:val="center"/>
        <w:rPr>
          <w:rFonts w:ascii="Cambria" w:hAnsi="Cambria" w:cstheme="minorHAnsi"/>
          <w:sz w:val="32"/>
          <w:szCs w:val="32"/>
        </w:rPr>
      </w:pPr>
      <w:r w:rsidRPr="006C1DF3">
        <w:rPr>
          <w:rFonts w:ascii="Cambria" w:hAnsi="Cambria" w:cstheme="minorHAnsi"/>
          <w:sz w:val="32"/>
          <w:szCs w:val="32"/>
        </w:rPr>
        <w:t>Seminární práce do předmětu Ekotoxikologie vodních ekosystémů</w:t>
      </w:r>
    </w:p>
    <w:p w:rsidR="000A34F6" w:rsidRDefault="000A34F6" w:rsidP="000A34F6">
      <w:pPr>
        <w:spacing w:after="240"/>
        <w:rPr>
          <w:rFonts w:ascii="Cambria" w:hAnsi="Cambria" w:cstheme="minorHAnsi"/>
          <w:sz w:val="40"/>
          <w:szCs w:val="40"/>
        </w:rPr>
      </w:pPr>
    </w:p>
    <w:p w:rsidR="006C1DF3" w:rsidRDefault="006C1DF3" w:rsidP="000A34F6">
      <w:pPr>
        <w:spacing w:after="240"/>
        <w:rPr>
          <w:rFonts w:ascii="Cambria" w:hAnsi="Cambria" w:cstheme="minorHAnsi"/>
          <w:sz w:val="40"/>
          <w:szCs w:val="40"/>
        </w:rPr>
      </w:pPr>
    </w:p>
    <w:p w:rsidR="006C1DF3" w:rsidRPr="000A34F6" w:rsidRDefault="006C1DF3" w:rsidP="000A34F6">
      <w:pPr>
        <w:spacing w:after="240"/>
        <w:rPr>
          <w:rFonts w:ascii="Cambria" w:hAnsi="Cambria" w:cstheme="minorHAnsi"/>
          <w:sz w:val="40"/>
          <w:szCs w:val="40"/>
        </w:rPr>
      </w:pPr>
    </w:p>
    <w:p w:rsidR="000A34F6" w:rsidRPr="000A34F6" w:rsidRDefault="000A34F6" w:rsidP="000A34F6">
      <w:pPr>
        <w:rPr>
          <w:rFonts w:ascii="Cambria" w:hAnsi="Cambria" w:cstheme="minorHAnsi"/>
          <w:b/>
          <w:sz w:val="36"/>
          <w:szCs w:val="36"/>
        </w:rPr>
      </w:pPr>
      <w:r w:rsidRPr="000A34F6">
        <w:rPr>
          <w:rFonts w:ascii="Cambria" w:hAnsi="Cambria" w:cstheme="minorHAnsi"/>
          <w:b/>
          <w:sz w:val="36"/>
          <w:szCs w:val="36"/>
        </w:rPr>
        <w:t>Libor Šulc</w:t>
      </w:r>
    </w:p>
    <w:p w:rsidR="000A34F6" w:rsidRDefault="000A34F6" w:rsidP="006C1DF3">
      <w:pPr>
        <w:rPr>
          <w:rFonts w:ascii="Cambria" w:hAnsi="Cambria" w:cstheme="minorHAnsi"/>
          <w:b/>
          <w:sz w:val="36"/>
          <w:szCs w:val="36"/>
        </w:rPr>
      </w:pPr>
      <w:r w:rsidRPr="000A34F6">
        <w:rPr>
          <w:rFonts w:ascii="Cambria" w:hAnsi="Cambria" w:cstheme="minorHAnsi"/>
          <w:b/>
          <w:sz w:val="36"/>
          <w:szCs w:val="36"/>
        </w:rPr>
        <w:t>Markéta Hájková</w:t>
      </w:r>
    </w:p>
    <w:p w:rsidR="006C1DF3" w:rsidRPr="000A34F6" w:rsidRDefault="006C1DF3" w:rsidP="006C1DF3">
      <w:pPr>
        <w:rPr>
          <w:rFonts w:ascii="Cambria" w:hAnsi="Cambria" w:cstheme="minorHAnsi"/>
          <w:b/>
          <w:sz w:val="56"/>
          <w:szCs w:val="44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6096"/>
        <w:gridCol w:w="2544"/>
      </w:tblGrid>
      <w:tr w:rsidR="000A34F6" w:rsidRPr="000A34F6" w:rsidTr="005E0139">
        <w:tc>
          <w:tcPr>
            <w:tcW w:w="6096" w:type="dxa"/>
            <w:shd w:val="clear" w:color="auto" w:fill="auto"/>
          </w:tcPr>
          <w:p w:rsidR="000A34F6" w:rsidRPr="000A34F6" w:rsidRDefault="000A34F6" w:rsidP="005E0139">
            <w:pPr>
              <w:ind w:left="-108"/>
              <w:rPr>
                <w:rFonts w:ascii="Cambria" w:hAnsi="Cambria" w:cstheme="minorHAnsi"/>
                <w:b/>
                <w:sz w:val="28"/>
                <w:szCs w:val="44"/>
              </w:rPr>
            </w:pPr>
          </w:p>
        </w:tc>
        <w:tc>
          <w:tcPr>
            <w:tcW w:w="2544" w:type="dxa"/>
            <w:shd w:val="clear" w:color="auto" w:fill="auto"/>
          </w:tcPr>
          <w:p w:rsidR="000A34F6" w:rsidRPr="000A34F6" w:rsidRDefault="000A34F6" w:rsidP="005E0139">
            <w:pPr>
              <w:jc w:val="right"/>
              <w:rPr>
                <w:rFonts w:ascii="Cambria" w:hAnsi="Cambria" w:cstheme="minorHAnsi"/>
                <w:b/>
                <w:sz w:val="28"/>
                <w:szCs w:val="44"/>
              </w:rPr>
            </w:pPr>
            <w:r w:rsidRPr="000A34F6">
              <w:rPr>
                <w:rFonts w:ascii="Cambria" w:hAnsi="Cambria" w:cstheme="minorHAnsi"/>
                <w:b/>
                <w:sz w:val="28"/>
                <w:szCs w:val="44"/>
              </w:rPr>
              <w:t>Brno 2014</w:t>
            </w:r>
          </w:p>
        </w:tc>
      </w:tr>
    </w:tbl>
    <w:p w:rsidR="009322EE" w:rsidRPr="000A34F6" w:rsidRDefault="00F44024" w:rsidP="008A6924">
      <w:pPr>
        <w:pStyle w:val="Nadpis1"/>
        <w:rPr>
          <w:rFonts w:ascii="Cambria" w:hAnsi="Cambria"/>
          <w:u w:val="none"/>
        </w:rPr>
      </w:pPr>
      <w:r w:rsidRPr="000A34F6">
        <w:rPr>
          <w:rFonts w:ascii="Cambria" w:hAnsi="Cambria"/>
          <w:u w:val="none"/>
        </w:rPr>
        <w:lastRenderedPageBreak/>
        <w:t>Whole</w:t>
      </w:r>
      <w:r w:rsidR="006E6C30" w:rsidRPr="000A34F6">
        <w:rPr>
          <w:rFonts w:ascii="Cambria" w:hAnsi="Cambria"/>
          <w:u w:val="none"/>
        </w:rPr>
        <w:t xml:space="preserve"> </w:t>
      </w:r>
      <w:r w:rsidRPr="000A34F6">
        <w:rPr>
          <w:rFonts w:ascii="Cambria" w:hAnsi="Cambria"/>
          <w:u w:val="none"/>
        </w:rPr>
        <w:t>effluent</w:t>
      </w:r>
      <w:r w:rsidR="006E6C30" w:rsidRPr="000A34F6">
        <w:rPr>
          <w:rFonts w:ascii="Cambria" w:hAnsi="Cambria"/>
          <w:u w:val="none"/>
        </w:rPr>
        <w:t xml:space="preserve"> </w:t>
      </w:r>
      <w:r w:rsidRPr="000A34F6">
        <w:rPr>
          <w:rFonts w:ascii="Cambria" w:hAnsi="Cambria"/>
          <w:u w:val="none"/>
        </w:rPr>
        <w:t>asses</w:t>
      </w:r>
      <w:r w:rsidR="000A34F6" w:rsidRPr="000A34F6">
        <w:rPr>
          <w:rFonts w:ascii="Cambria" w:hAnsi="Cambria"/>
          <w:u w:val="none"/>
        </w:rPr>
        <w:t>s</w:t>
      </w:r>
      <w:r w:rsidR="009322EE" w:rsidRPr="000A34F6">
        <w:rPr>
          <w:rFonts w:ascii="Cambria" w:hAnsi="Cambria"/>
          <w:u w:val="none"/>
        </w:rPr>
        <w:t>ment (WEA)</w:t>
      </w:r>
    </w:p>
    <w:p w:rsidR="008A6924" w:rsidRPr="000A34F6" w:rsidRDefault="008A6924" w:rsidP="008A6924">
      <w:pPr>
        <w:rPr>
          <w:rFonts w:ascii="Cambria" w:hAnsi="Cambria"/>
        </w:rPr>
      </w:pPr>
    </w:p>
    <w:p w:rsidR="007110F0" w:rsidRPr="000A34F6" w:rsidRDefault="007110F0" w:rsidP="007110F0">
      <w:pPr>
        <w:spacing w:after="0"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0A34F6">
        <w:rPr>
          <w:rFonts w:ascii="Cambria" w:hAnsi="Cambria" w:cstheme="minorHAnsi"/>
          <w:b/>
          <w:sz w:val="24"/>
          <w:szCs w:val="24"/>
        </w:rPr>
        <w:t>Úvod</w:t>
      </w:r>
    </w:p>
    <w:p w:rsidR="007110F0" w:rsidRPr="000A34F6" w:rsidRDefault="007110F0" w:rsidP="007110F0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7110F0" w:rsidRPr="000A34F6" w:rsidRDefault="007110F0" w:rsidP="007110F0">
      <w:pPr>
        <w:spacing w:after="0" w:line="240" w:lineRule="auto"/>
        <w:ind w:firstLine="54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Antropogenní působení zanechává na charakteru krajiny a jejích zdrojích čím dál více hmatatelných stop. Dopady spojené s rozmachem průmyslu a nešetrným odpadním hospodářstvím zaměstnávají vědce z celého světa. Vzhledem k narůstajícímu znečištění biosféry toxickým odpadem je proto nezbytné studovat dopady a mechanismy působení těchto látek na organismy. Jedná se především o kontaminaci vodního prostředí odpadními vodami a kaly.</w:t>
      </w:r>
    </w:p>
    <w:p w:rsidR="007110F0" w:rsidRPr="000A34F6" w:rsidRDefault="007110F0" w:rsidP="007110F0">
      <w:pPr>
        <w:spacing w:after="0" w:line="240" w:lineRule="auto"/>
        <w:ind w:firstLine="54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Pojem „nový“ environmentální polutant označuje kontaminanty antropogenního původu, které životní prostředí znečišťují již desítky let, ale jejichž účinky lidé hlouběji zkoumají až v posledních letech (Kotyza </w:t>
      </w:r>
      <w:r w:rsidRPr="000A34F6">
        <w:rPr>
          <w:rFonts w:ascii="Cambria" w:hAnsi="Cambria" w:cstheme="minorHAnsi"/>
          <w:i/>
          <w:sz w:val="24"/>
          <w:szCs w:val="24"/>
        </w:rPr>
        <w:t>et al.</w:t>
      </w:r>
      <w:r w:rsidRPr="000A34F6">
        <w:rPr>
          <w:rFonts w:ascii="Cambria" w:hAnsi="Cambria" w:cstheme="minorHAnsi"/>
          <w:sz w:val="24"/>
          <w:szCs w:val="24"/>
        </w:rPr>
        <w:t xml:space="preserve">, 2009). Patří ke složkám evropského koloběhu vody. Jedná se o tzv. perzistentní organické polutanty (POP), přičemž ke klasickým zástupcům jako jsou polycyklické aromatické uhlovodíky (PAHs), organochloridy (DDT) či polychlorované bifenyly (PCB) se začaly nedávno řadit i polybromované retardátory hoření (BFR) a detergenty. Na kontaminaci zejména vodního ekosystému se podílí i tzv. „pseudopersistentní polutanty“, kam patří léčiva se svými transformačními produkty a prostředky osobní péče (PCP) (Holling </w:t>
      </w:r>
      <w:r w:rsidRPr="000A34F6">
        <w:rPr>
          <w:rFonts w:ascii="Cambria" w:hAnsi="Cambria" w:cstheme="minorHAnsi"/>
          <w:i/>
          <w:sz w:val="24"/>
          <w:szCs w:val="24"/>
        </w:rPr>
        <w:t>et al.</w:t>
      </w:r>
      <w:r w:rsidRPr="000A34F6">
        <w:rPr>
          <w:rFonts w:ascii="Cambria" w:hAnsi="Cambria" w:cstheme="minorHAnsi"/>
          <w:sz w:val="24"/>
          <w:szCs w:val="24"/>
        </w:rPr>
        <w:t>, 2012). Zcela indiferentní látky prakticky neexistují, rozdíl je pouze v intenzitě jejich účinku.</w:t>
      </w:r>
    </w:p>
    <w:p w:rsidR="0025678F" w:rsidRPr="000A34F6" w:rsidRDefault="0025678F" w:rsidP="007110F0">
      <w:pPr>
        <w:spacing w:after="0" w:line="240" w:lineRule="auto"/>
        <w:ind w:firstLine="54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Znečištění </w:t>
      </w:r>
      <w:r w:rsidR="005D7AFC" w:rsidRPr="000A34F6">
        <w:rPr>
          <w:rFonts w:ascii="Cambria" w:hAnsi="Cambria" w:cstheme="minorHAnsi"/>
          <w:sz w:val="24"/>
          <w:szCs w:val="24"/>
        </w:rPr>
        <w:t xml:space="preserve">vod </w:t>
      </w:r>
      <w:r w:rsidRPr="000A34F6">
        <w:rPr>
          <w:rFonts w:ascii="Cambria" w:hAnsi="Cambria" w:cstheme="minorHAnsi"/>
          <w:sz w:val="24"/>
          <w:szCs w:val="24"/>
        </w:rPr>
        <w:t>je kontaminace, která má</w:t>
      </w:r>
      <w:r w:rsidR="005D7AFC" w:rsidRPr="000A34F6">
        <w:rPr>
          <w:rFonts w:ascii="Cambria" w:hAnsi="Cambria" w:cstheme="minorHAnsi"/>
          <w:sz w:val="24"/>
          <w:szCs w:val="24"/>
        </w:rPr>
        <w:t xml:space="preserve"> nebo může mít</w:t>
      </w:r>
      <w:r w:rsidRPr="000A34F6">
        <w:rPr>
          <w:rFonts w:ascii="Cambria" w:hAnsi="Cambria" w:cstheme="minorHAnsi"/>
          <w:sz w:val="24"/>
          <w:szCs w:val="24"/>
        </w:rPr>
        <w:t xml:space="preserve"> za následek nežádoucí biologické účinky na</w:t>
      </w:r>
      <w:r w:rsidR="005D7AFC" w:rsidRPr="000A34F6">
        <w:rPr>
          <w:rFonts w:ascii="Cambria" w:hAnsi="Cambria" w:cstheme="minorHAnsi"/>
          <w:sz w:val="24"/>
          <w:szCs w:val="24"/>
        </w:rPr>
        <w:t xml:space="preserve"> organismy</w:t>
      </w:r>
      <w:r w:rsidRPr="000A34F6">
        <w:rPr>
          <w:rFonts w:ascii="Cambria" w:hAnsi="Cambria" w:cstheme="minorHAnsi"/>
          <w:sz w:val="24"/>
          <w:szCs w:val="24"/>
        </w:rPr>
        <w:t xml:space="preserve">. </w:t>
      </w:r>
      <w:r w:rsidR="005D7AFC" w:rsidRPr="000A34F6">
        <w:rPr>
          <w:rFonts w:ascii="Cambria" w:hAnsi="Cambria" w:cstheme="minorHAnsi"/>
          <w:sz w:val="24"/>
          <w:szCs w:val="24"/>
        </w:rPr>
        <w:t>Analýzu dopadů znečištění</w:t>
      </w:r>
      <w:r w:rsidRPr="000A34F6">
        <w:rPr>
          <w:rFonts w:ascii="Cambria" w:hAnsi="Cambria" w:cstheme="minorHAnsi"/>
          <w:sz w:val="24"/>
          <w:szCs w:val="24"/>
        </w:rPr>
        <w:t xml:space="preserve"> nelze pro</w:t>
      </w:r>
      <w:r w:rsidR="005D7AFC" w:rsidRPr="000A34F6">
        <w:rPr>
          <w:rFonts w:ascii="Cambria" w:hAnsi="Cambria" w:cstheme="minorHAnsi"/>
          <w:sz w:val="24"/>
          <w:szCs w:val="24"/>
        </w:rPr>
        <w:t>vést pouze na základě chemických rozborů, jelikož ty neposkytují žádné informace o působení na biotu; k tomu slouží komplexní testy</w:t>
      </w:r>
      <w:r w:rsidR="00CA4892" w:rsidRPr="000A34F6">
        <w:rPr>
          <w:rFonts w:ascii="Cambria" w:hAnsi="Cambria" w:cstheme="minorHAnsi"/>
          <w:sz w:val="24"/>
          <w:szCs w:val="24"/>
        </w:rPr>
        <w:t xml:space="preserve"> zaměřené na klíčové druhy zkoumaného prostředí</w:t>
      </w:r>
      <w:r w:rsidR="005D7AFC" w:rsidRPr="000A34F6">
        <w:rPr>
          <w:rFonts w:ascii="Cambria" w:hAnsi="Cambria" w:cstheme="minorHAnsi"/>
          <w:sz w:val="24"/>
          <w:szCs w:val="24"/>
        </w:rPr>
        <w:t>.</w:t>
      </w:r>
    </w:p>
    <w:p w:rsidR="007110F0" w:rsidRPr="000A34F6" w:rsidRDefault="007110F0" w:rsidP="007110F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7110F0" w:rsidRPr="000A34F6" w:rsidRDefault="007110F0" w:rsidP="007110F0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0A34F6">
        <w:rPr>
          <w:rFonts w:ascii="Cambria" w:hAnsi="Cambria" w:cstheme="minorHAnsi"/>
          <w:b/>
          <w:sz w:val="24"/>
          <w:szCs w:val="24"/>
        </w:rPr>
        <w:t>Whole effluent asses</w:t>
      </w:r>
      <w:r w:rsidR="000A34F6">
        <w:rPr>
          <w:rFonts w:ascii="Cambria" w:hAnsi="Cambria" w:cstheme="minorHAnsi"/>
          <w:b/>
          <w:sz w:val="24"/>
          <w:szCs w:val="24"/>
        </w:rPr>
        <w:t>s</w:t>
      </w:r>
      <w:r w:rsidRPr="000A34F6">
        <w:rPr>
          <w:rFonts w:ascii="Cambria" w:hAnsi="Cambria" w:cstheme="minorHAnsi"/>
          <w:b/>
          <w:sz w:val="24"/>
          <w:szCs w:val="24"/>
        </w:rPr>
        <w:t>ment</w:t>
      </w:r>
    </w:p>
    <w:p w:rsidR="007110F0" w:rsidRPr="000A34F6" w:rsidRDefault="007110F0" w:rsidP="007110F0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6E6C30" w:rsidRPr="000A34F6" w:rsidRDefault="00784C1A" w:rsidP="007110F0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V rámci zjišťování rizik spojených s vystavením vodního prostředí působení xenobiotik vyvstala potřeba upřesnit postupy pro komplexní posouzení ekotoxikologického účinku odpadních vod. </w:t>
      </w:r>
      <w:r w:rsidR="004D0726" w:rsidRPr="000A34F6">
        <w:rPr>
          <w:rFonts w:ascii="Cambria" w:hAnsi="Cambria" w:cstheme="minorHAnsi"/>
          <w:sz w:val="24"/>
          <w:szCs w:val="24"/>
        </w:rPr>
        <w:t>Whole</w:t>
      </w:r>
      <w:r w:rsidR="008F329F" w:rsidRPr="000A34F6">
        <w:rPr>
          <w:rFonts w:ascii="Cambria" w:hAnsi="Cambria" w:cstheme="minorHAnsi"/>
          <w:sz w:val="24"/>
          <w:szCs w:val="24"/>
        </w:rPr>
        <w:t xml:space="preserve"> </w:t>
      </w:r>
      <w:r w:rsidR="004D0726" w:rsidRPr="000A34F6">
        <w:rPr>
          <w:rFonts w:ascii="Cambria" w:hAnsi="Cambria" w:cstheme="minorHAnsi"/>
          <w:sz w:val="24"/>
          <w:szCs w:val="24"/>
        </w:rPr>
        <w:t>effluent</w:t>
      </w:r>
      <w:r w:rsidR="008F329F" w:rsidRPr="000A34F6">
        <w:rPr>
          <w:rFonts w:ascii="Cambria" w:hAnsi="Cambria" w:cstheme="minorHAnsi"/>
          <w:sz w:val="24"/>
          <w:szCs w:val="24"/>
        </w:rPr>
        <w:t xml:space="preserve"> </w:t>
      </w:r>
      <w:r w:rsidR="004D0726" w:rsidRPr="000A34F6">
        <w:rPr>
          <w:rFonts w:ascii="Cambria" w:hAnsi="Cambria" w:cstheme="minorHAnsi"/>
          <w:sz w:val="24"/>
          <w:szCs w:val="24"/>
        </w:rPr>
        <w:t>asse</w:t>
      </w:r>
      <w:r w:rsidR="000A34F6" w:rsidRPr="000A34F6">
        <w:rPr>
          <w:rFonts w:ascii="Cambria" w:hAnsi="Cambria" w:cstheme="minorHAnsi"/>
          <w:sz w:val="24"/>
          <w:szCs w:val="24"/>
        </w:rPr>
        <w:t>s</w:t>
      </w:r>
      <w:r w:rsidR="004D0726" w:rsidRPr="000A34F6">
        <w:rPr>
          <w:rFonts w:ascii="Cambria" w:hAnsi="Cambria" w:cstheme="minorHAnsi"/>
          <w:sz w:val="24"/>
          <w:szCs w:val="24"/>
        </w:rPr>
        <w:t xml:space="preserve">sment (WEA) slouží pro zhodnocení kvality odpadních vod, tak aby se předešlo nechtěnému úniku látek se škodlivými účinky do povrchových vod a následně do mořských ekosystémů. </w:t>
      </w:r>
      <w:r w:rsidR="008F329F" w:rsidRPr="000A34F6">
        <w:rPr>
          <w:rFonts w:ascii="Cambria" w:hAnsi="Cambria" w:cstheme="minorHAnsi"/>
          <w:sz w:val="24"/>
          <w:szCs w:val="24"/>
        </w:rPr>
        <w:t>Stále se však používá i systém</w:t>
      </w:r>
      <w:r w:rsidR="00D53A5E" w:rsidRPr="000A34F6">
        <w:rPr>
          <w:rFonts w:ascii="Cambria" w:hAnsi="Cambria" w:cstheme="minorHAnsi"/>
          <w:sz w:val="24"/>
          <w:szCs w:val="24"/>
        </w:rPr>
        <w:t xml:space="preserve"> tzv. single substance approach (SSA).</w:t>
      </w:r>
      <w:r w:rsidR="008F329F" w:rsidRPr="000A34F6">
        <w:rPr>
          <w:rFonts w:ascii="Cambria" w:hAnsi="Cambria" w:cstheme="minorHAnsi"/>
          <w:sz w:val="24"/>
          <w:szCs w:val="24"/>
        </w:rPr>
        <w:t xml:space="preserve"> </w:t>
      </w:r>
      <w:r w:rsidR="00C20DB8" w:rsidRPr="000A34F6">
        <w:rPr>
          <w:rFonts w:ascii="Cambria" w:hAnsi="Cambria" w:cstheme="minorHAnsi"/>
          <w:sz w:val="24"/>
          <w:szCs w:val="24"/>
        </w:rPr>
        <w:t>Single substance approach</w:t>
      </w:r>
      <w:r w:rsidR="008F329F" w:rsidRPr="000A34F6">
        <w:rPr>
          <w:rFonts w:ascii="Cambria" w:hAnsi="Cambria" w:cstheme="minorHAnsi"/>
          <w:sz w:val="24"/>
          <w:szCs w:val="24"/>
        </w:rPr>
        <w:t xml:space="preserve"> </w:t>
      </w:r>
      <w:r w:rsidR="004A1622" w:rsidRPr="000A34F6">
        <w:rPr>
          <w:rFonts w:ascii="Cambria" w:hAnsi="Cambria" w:cstheme="minorHAnsi"/>
          <w:sz w:val="24"/>
          <w:szCs w:val="24"/>
        </w:rPr>
        <w:t xml:space="preserve">(SSA) </w:t>
      </w:r>
      <w:r w:rsidR="00C20DB8" w:rsidRPr="000A34F6">
        <w:rPr>
          <w:rFonts w:ascii="Cambria" w:hAnsi="Cambria" w:cstheme="minorHAnsi"/>
          <w:sz w:val="24"/>
          <w:szCs w:val="24"/>
        </w:rPr>
        <w:t xml:space="preserve">je hojně využívaný přístup k hodnocení znečištění vod. Jeho základem je zhodnocení toxicity, perzistence a bioakumulace polutantů.  Tyto parametry slouží pro zhodnocení míry rizika </w:t>
      </w:r>
      <w:r w:rsidR="00777EBA" w:rsidRPr="000A34F6">
        <w:rPr>
          <w:rFonts w:ascii="Cambria" w:hAnsi="Cambria" w:cstheme="minorHAnsi"/>
          <w:sz w:val="24"/>
          <w:szCs w:val="24"/>
        </w:rPr>
        <w:t>a stanovení</w:t>
      </w:r>
      <w:r w:rsidR="00C20DB8" w:rsidRPr="000A34F6">
        <w:rPr>
          <w:rFonts w:ascii="Cambria" w:hAnsi="Cambria" w:cstheme="minorHAnsi"/>
          <w:sz w:val="24"/>
          <w:szCs w:val="24"/>
        </w:rPr>
        <w:t xml:space="preserve"> přípustných limitů </w:t>
      </w:r>
      <w:r w:rsidR="00777EBA" w:rsidRPr="000A34F6">
        <w:rPr>
          <w:rFonts w:ascii="Cambria" w:hAnsi="Cambria" w:cstheme="minorHAnsi"/>
          <w:sz w:val="24"/>
          <w:szCs w:val="24"/>
        </w:rPr>
        <w:t xml:space="preserve">chemických látek </w:t>
      </w:r>
      <w:r w:rsidR="00C20DB8" w:rsidRPr="000A34F6">
        <w:rPr>
          <w:rFonts w:ascii="Cambria" w:hAnsi="Cambria" w:cstheme="minorHAnsi"/>
          <w:sz w:val="24"/>
          <w:szCs w:val="24"/>
        </w:rPr>
        <w:t xml:space="preserve">v životním </w:t>
      </w:r>
      <w:r w:rsidR="00777EBA" w:rsidRPr="000A34F6">
        <w:rPr>
          <w:rFonts w:ascii="Cambria" w:hAnsi="Cambria" w:cstheme="minorHAnsi"/>
          <w:sz w:val="24"/>
          <w:szCs w:val="24"/>
        </w:rPr>
        <w:t>prostředí.</w:t>
      </w:r>
      <w:r w:rsidR="008F329F" w:rsidRPr="000A34F6">
        <w:rPr>
          <w:rFonts w:ascii="Cambria" w:hAnsi="Cambria" w:cstheme="minorHAnsi"/>
          <w:sz w:val="24"/>
          <w:szCs w:val="24"/>
        </w:rPr>
        <w:t xml:space="preserve"> </w:t>
      </w:r>
      <w:r w:rsidR="00777EBA" w:rsidRPr="000A34F6">
        <w:rPr>
          <w:rFonts w:ascii="Cambria" w:hAnsi="Cambria" w:cstheme="minorHAnsi"/>
          <w:sz w:val="24"/>
          <w:szCs w:val="24"/>
        </w:rPr>
        <w:t>Tento přístup je považován za efektivní, nicméně</w:t>
      </w:r>
      <w:r w:rsidR="004A1622" w:rsidRPr="000A34F6">
        <w:rPr>
          <w:rFonts w:ascii="Cambria" w:hAnsi="Cambria" w:cstheme="minorHAnsi"/>
          <w:sz w:val="24"/>
          <w:szCs w:val="24"/>
        </w:rPr>
        <w:t xml:space="preserve"> pokud nejsou známy veškeré přítomné sloučeniny, může docházet k nechtěnému úniku k</w:t>
      </w:r>
      <w:r w:rsidR="006E6C30" w:rsidRPr="000A34F6">
        <w:rPr>
          <w:rFonts w:ascii="Cambria" w:hAnsi="Cambria" w:cstheme="minorHAnsi"/>
          <w:sz w:val="24"/>
          <w:szCs w:val="24"/>
        </w:rPr>
        <w:t>ontaminantů do povrchových vod.</w:t>
      </w:r>
    </w:p>
    <w:p w:rsidR="00784C1A" w:rsidRPr="000A34F6" w:rsidRDefault="00091A4C" w:rsidP="00784C1A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Výhoda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 WEA oproti </w:t>
      </w:r>
      <w:r w:rsidR="004A1622" w:rsidRPr="000A34F6">
        <w:rPr>
          <w:rFonts w:ascii="Cambria" w:hAnsi="Cambria" w:cstheme="minorHAnsi"/>
          <w:sz w:val="24"/>
          <w:szCs w:val="24"/>
        </w:rPr>
        <w:t xml:space="preserve">SSA 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tkví v tom, že WEA dovede zhodnotit veškeré efekty známých i neznámých látek v komplexních směsích. </w:t>
      </w:r>
      <w:r w:rsidR="004A1622" w:rsidRPr="000A34F6">
        <w:rPr>
          <w:rFonts w:ascii="Cambria" w:hAnsi="Cambria" w:cstheme="minorHAnsi"/>
          <w:sz w:val="24"/>
          <w:szCs w:val="24"/>
        </w:rPr>
        <w:t>WEA</w:t>
      </w:r>
      <w:r w:rsidR="00777EBA" w:rsidRPr="000A34F6">
        <w:rPr>
          <w:rFonts w:ascii="Cambria" w:hAnsi="Cambria" w:cstheme="minorHAnsi"/>
          <w:sz w:val="24"/>
          <w:szCs w:val="24"/>
        </w:rPr>
        <w:t xml:space="preserve"> slouží jako nástroj pro pochopení efekt</w:t>
      </w:r>
      <w:r w:rsidR="00C671E5" w:rsidRPr="000A34F6">
        <w:rPr>
          <w:rFonts w:ascii="Cambria" w:hAnsi="Cambria" w:cstheme="minorHAnsi"/>
          <w:sz w:val="24"/>
          <w:szCs w:val="24"/>
        </w:rPr>
        <w:t>ů</w:t>
      </w:r>
      <w:r w:rsidRPr="000A34F6">
        <w:rPr>
          <w:rFonts w:ascii="Cambria" w:hAnsi="Cambria" w:cstheme="minorHAnsi"/>
          <w:sz w:val="24"/>
          <w:szCs w:val="24"/>
        </w:rPr>
        <w:t xml:space="preserve"> způsobených</w:t>
      </w:r>
      <w:r w:rsidR="00A376A8" w:rsidRPr="000A34F6">
        <w:rPr>
          <w:rFonts w:ascii="Cambria" w:hAnsi="Cambria" w:cstheme="minorHAnsi"/>
          <w:sz w:val="24"/>
          <w:szCs w:val="24"/>
        </w:rPr>
        <w:t xml:space="preserve"> </w:t>
      </w:r>
      <w:r w:rsidR="00C671E5" w:rsidRPr="000A34F6">
        <w:rPr>
          <w:rFonts w:ascii="Cambria" w:hAnsi="Cambria" w:cstheme="minorHAnsi"/>
          <w:sz w:val="24"/>
          <w:szCs w:val="24"/>
        </w:rPr>
        <w:t>lát</w:t>
      </w:r>
      <w:r w:rsidRPr="000A34F6">
        <w:rPr>
          <w:rFonts w:ascii="Cambria" w:hAnsi="Cambria" w:cstheme="minorHAnsi"/>
          <w:sz w:val="24"/>
          <w:szCs w:val="24"/>
        </w:rPr>
        <w:t xml:space="preserve">kami </w:t>
      </w:r>
      <w:r w:rsidR="00C671E5" w:rsidRPr="000A34F6">
        <w:rPr>
          <w:rFonts w:ascii="Cambria" w:hAnsi="Cambria" w:cstheme="minorHAnsi"/>
          <w:sz w:val="24"/>
          <w:szCs w:val="24"/>
        </w:rPr>
        <w:t>ve směsích</w:t>
      </w:r>
      <w:r w:rsidR="00A376A8" w:rsidRPr="000A34F6">
        <w:rPr>
          <w:rFonts w:ascii="Cambria" w:hAnsi="Cambria" w:cstheme="minorHAnsi"/>
          <w:sz w:val="24"/>
          <w:szCs w:val="24"/>
        </w:rPr>
        <w:t xml:space="preserve">, jež jsou </w:t>
      </w:r>
      <w:r w:rsidR="00C671E5" w:rsidRPr="000A34F6">
        <w:rPr>
          <w:rFonts w:ascii="Cambria" w:hAnsi="Cambria" w:cstheme="minorHAnsi"/>
          <w:sz w:val="24"/>
          <w:szCs w:val="24"/>
        </w:rPr>
        <w:t>často pozorov</w:t>
      </w:r>
      <w:r w:rsidR="00A376A8" w:rsidRPr="000A34F6">
        <w:rPr>
          <w:rFonts w:ascii="Cambria" w:hAnsi="Cambria" w:cstheme="minorHAnsi"/>
          <w:sz w:val="24"/>
          <w:szCs w:val="24"/>
        </w:rPr>
        <w:t>ány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 u výpustí odpadních vod</w:t>
      </w:r>
      <w:r w:rsidR="00784C1A" w:rsidRPr="000A34F6">
        <w:rPr>
          <w:rFonts w:ascii="Cambria" w:hAnsi="Cambria" w:cstheme="minorHAnsi"/>
          <w:sz w:val="24"/>
          <w:szCs w:val="24"/>
        </w:rPr>
        <w:t xml:space="preserve"> (např. PCBs)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. </w:t>
      </w:r>
      <w:r w:rsidR="00784C1A" w:rsidRPr="000A34F6">
        <w:rPr>
          <w:rFonts w:ascii="Cambria" w:hAnsi="Cambria" w:cstheme="minorHAnsi"/>
          <w:sz w:val="24"/>
          <w:szCs w:val="24"/>
        </w:rPr>
        <w:t>Přednosti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 tohoto přístupu vedly k</w:t>
      </w:r>
      <w:r w:rsidR="00784C1A" w:rsidRPr="000A34F6">
        <w:rPr>
          <w:rFonts w:ascii="Cambria" w:hAnsi="Cambria" w:cstheme="minorHAnsi"/>
          <w:sz w:val="24"/>
          <w:szCs w:val="24"/>
        </w:rPr>
        <w:t xml:space="preserve"> </w:t>
      </w:r>
      <w:r w:rsidR="00C671E5" w:rsidRPr="000A34F6">
        <w:rPr>
          <w:rFonts w:ascii="Cambria" w:hAnsi="Cambria" w:cstheme="minorHAnsi"/>
          <w:sz w:val="24"/>
          <w:szCs w:val="24"/>
        </w:rPr>
        <w:t xml:space="preserve">zavedení WEA testů např. </w:t>
      </w:r>
      <w:r w:rsidR="00E441E4" w:rsidRPr="000A34F6">
        <w:rPr>
          <w:rFonts w:ascii="Cambria" w:hAnsi="Cambria" w:cstheme="minorHAnsi"/>
          <w:sz w:val="24"/>
          <w:szCs w:val="24"/>
        </w:rPr>
        <w:t>v USA, Kanadě, Irsku, pobaltských státech</w:t>
      </w:r>
      <w:r w:rsidR="00820EC5">
        <w:rPr>
          <w:rFonts w:ascii="Cambria" w:hAnsi="Cambria" w:cstheme="minorHAnsi"/>
          <w:sz w:val="24"/>
          <w:szCs w:val="24"/>
        </w:rPr>
        <w:t xml:space="preserve"> (COHIBA projekt)</w:t>
      </w:r>
      <w:r w:rsidR="00784C1A" w:rsidRPr="000A34F6">
        <w:rPr>
          <w:rFonts w:ascii="Cambria" w:hAnsi="Cambria" w:cstheme="minorHAnsi"/>
          <w:sz w:val="24"/>
          <w:szCs w:val="24"/>
        </w:rPr>
        <w:t xml:space="preserve">, </w:t>
      </w:r>
      <w:r w:rsidR="00E441E4" w:rsidRPr="000A34F6">
        <w:rPr>
          <w:rFonts w:ascii="Cambria" w:hAnsi="Cambria" w:cstheme="minorHAnsi"/>
          <w:sz w:val="24"/>
          <w:szCs w:val="24"/>
        </w:rPr>
        <w:t>Německu</w:t>
      </w:r>
      <w:r w:rsidR="00784C1A" w:rsidRPr="000A34F6">
        <w:rPr>
          <w:rFonts w:ascii="Cambria" w:hAnsi="Cambria" w:cstheme="minorHAnsi"/>
          <w:sz w:val="24"/>
          <w:szCs w:val="24"/>
        </w:rPr>
        <w:t xml:space="preserve"> a Francii (Power </w:t>
      </w:r>
      <w:r w:rsidR="00784C1A" w:rsidRPr="000A34F6">
        <w:rPr>
          <w:rFonts w:ascii="Cambria" w:hAnsi="Cambria" w:cstheme="minorHAnsi"/>
          <w:i/>
          <w:sz w:val="24"/>
          <w:szCs w:val="24"/>
        </w:rPr>
        <w:t>et</w:t>
      </w:r>
      <w:r w:rsidR="00784C1A" w:rsidRPr="000A34F6">
        <w:rPr>
          <w:rFonts w:ascii="Cambria" w:hAnsi="Cambria" w:cstheme="minorHAnsi"/>
          <w:sz w:val="24"/>
          <w:szCs w:val="24"/>
        </w:rPr>
        <w:t xml:space="preserve"> Boumphrey)</w:t>
      </w:r>
      <w:r w:rsidR="00E441E4" w:rsidRPr="000A34F6">
        <w:rPr>
          <w:rFonts w:ascii="Cambria" w:hAnsi="Cambria" w:cstheme="minorHAnsi"/>
          <w:sz w:val="24"/>
          <w:szCs w:val="24"/>
        </w:rPr>
        <w:t>.</w:t>
      </w:r>
    </w:p>
    <w:p w:rsidR="00C20DB8" w:rsidRPr="000A34F6" w:rsidRDefault="00C20DB8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0A34F6" w:rsidRDefault="000A34F6" w:rsidP="007110F0">
      <w:pPr>
        <w:pStyle w:val="Nadpis2"/>
        <w:spacing w:before="0" w:line="240" w:lineRule="auto"/>
        <w:rPr>
          <w:rFonts w:ascii="Cambria" w:hAnsi="Cambria" w:cstheme="minorHAnsi"/>
          <w:b/>
          <w:sz w:val="24"/>
          <w:szCs w:val="24"/>
        </w:rPr>
      </w:pPr>
    </w:p>
    <w:p w:rsidR="009072CA" w:rsidRPr="000A34F6" w:rsidRDefault="00C671E5" w:rsidP="007110F0">
      <w:pPr>
        <w:pStyle w:val="Nadpis2"/>
        <w:spacing w:before="0" w:line="240" w:lineRule="auto"/>
        <w:rPr>
          <w:rFonts w:ascii="Cambria" w:hAnsi="Cambria" w:cstheme="minorHAnsi"/>
          <w:b/>
          <w:sz w:val="24"/>
          <w:szCs w:val="24"/>
        </w:rPr>
      </w:pPr>
      <w:r w:rsidRPr="000A34F6">
        <w:rPr>
          <w:rFonts w:ascii="Cambria" w:hAnsi="Cambria" w:cstheme="minorHAnsi"/>
          <w:b/>
          <w:sz w:val="24"/>
          <w:szCs w:val="24"/>
        </w:rPr>
        <w:t>Výběr výtoků odpadních vod pro WEA</w:t>
      </w:r>
    </w:p>
    <w:p w:rsidR="00487C1B" w:rsidRPr="000A34F6" w:rsidRDefault="00487C1B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7B2BA7" w:rsidRPr="000A34F6" w:rsidRDefault="007B2BA7" w:rsidP="007110F0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Výtoky odpadních vod můžeme rozdělit na jednoduché a složité (k</w:t>
      </w:r>
      <w:r w:rsidR="00A75F0D" w:rsidRPr="000A34F6">
        <w:rPr>
          <w:rFonts w:ascii="Cambria" w:hAnsi="Cambria" w:cstheme="minorHAnsi"/>
          <w:sz w:val="24"/>
          <w:szCs w:val="24"/>
        </w:rPr>
        <w:t>omplexní). U jednoduchých výtoků</w:t>
      </w:r>
      <w:r w:rsidRPr="000A34F6">
        <w:rPr>
          <w:rFonts w:ascii="Cambria" w:hAnsi="Cambria" w:cstheme="minorHAnsi"/>
          <w:sz w:val="24"/>
          <w:szCs w:val="24"/>
        </w:rPr>
        <w:t xml:space="preserve"> se jedná o případ, kdy jsou všechny kontaminanty známy a jejich škodlivé účinky poté mohou být hodnoceny pomocí znalosti jejich vlastností. To zahrnuje i možné společné působení těchto látek. Komplexní výtoky naopak zahrnují směsi známých i neznámých látek dohromady</w:t>
      </w:r>
      <w:r w:rsidR="00A027B0" w:rsidRPr="000A34F6">
        <w:rPr>
          <w:rFonts w:ascii="Cambria" w:hAnsi="Cambria" w:cstheme="minorHAnsi"/>
          <w:sz w:val="24"/>
          <w:szCs w:val="24"/>
        </w:rPr>
        <w:t>, tzv. koktejly</w:t>
      </w:r>
      <w:r w:rsidRPr="000A34F6">
        <w:rPr>
          <w:rFonts w:ascii="Cambria" w:hAnsi="Cambria" w:cstheme="minorHAnsi"/>
          <w:sz w:val="24"/>
          <w:szCs w:val="24"/>
        </w:rPr>
        <w:t xml:space="preserve">. </w:t>
      </w:r>
    </w:p>
    <w:p w:rsidR="007B2BA7" w:rsidRPr="000A34F6" w:rsidRDefault="00B63263" w:rsidP="007110F0">
      <w:pPr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Pro WEA jsou vybírány komplexní výtoky odpadních vod, protože použití single substance approach by mohl</w:t>
      </w:r>
      <w:r w:rsidR="00A75F0D" w:rsidRPr="000A34F6">
        <w:rPr>
          <w:rFonts w:ascii="Cambria" w:hAnsi="Cambria" w:cstheme="minorHAnsi"/>
          <w:sz w:val="24"/>
          <w:szCs w:val="24"/>
        </w:rPr>
        <w:t>o</w:t>
      </w:r>
      <w:r w:rsidRPr="000A34F6">
        <w:rPr>
          <w:rFonts w:ascii="Cambria" w:hAnsi="Cambria" w:cstheme="minorHAnsi"/>
          <w:sz w:val="24"/>
          <w:szCs w:val="24"/>
        </w:rPr>
        <w:t xml:space="preserve"> zapříčinit únik některých látek dále do životního prostředí. Je proto nutné nejdříve určit, která výpusť se dá zařadit do kategorie jednoduchých a která do komplexních. K tomuto účelu byly sestaveny 4 kritéria. </w:t>
      </w:r>
    </w:p>
    <w:p w:rsidR="00C20DB8" w:rsidRPr="000A34F6" w:rsidRDefault="00B63263" w:rsidP="007110F0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Místa, kde je riziko výskytu většího množství chemických látek. </w:t>
      </w:r>
      <w:r w:rsidR="009866CF" w:rsidRPr="000A34F6">
        <w:rPr>
          <w:rFonts w:ascii="Cambria" w:hAnsi="Cambria" w:cstheme="minorHAnsi"/>
          <w:sz w:val="24"/>
          <w:szCs w:val="24"/>
        </w:rPr>
        <w:t>Typicky jsou to zařízení, kde se využívá složitých fyzikálních a chemických procesů s možností vzniku nežádoucích vedlejších produktů. Nemocnice a farmaceutický průmysl mohou být zdrojem specifických účinků jako je endokrinní disrupce a jiné.</w:t>
      </w:r>
    </w:p>
    <w:p w:rsidR="009866CF" w:rsidRPr="000A34F6" w:rsidRDefault="009866CF" w:rsidP="007110F0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Pokud předchozí WEA testování prokázalo přítomnosti škodlivých účinků, které se nedají vysvětlit pomocí SSA, může být druhé detailnější WEA testování doporučeno.</w:t>
      </w:r>
    </w:p>
    <w:p w:rsidR="009866CF" w:rsidRPr="000A34F6" w:rsidRDefault="009866CF" w:rsidP="007110F0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Vysoké úrovně organického uhlíku napovídají </w:t>
      </w:r>
      <w:r w:rsidR="00B42254" w:rsidRPr="000A34F6">
        <w:rPr>
          <w:rFonts w:ascii="Cambria" w:hAnsi="Cambria" w:cstheme="minorHAnsi"/>
          <w:sz w:val="24"/>
          <w:szCs w:val="24"/>
        </w:rPr>
        <w:t>přítomnosti velkého množství organických látek. Tím pádem se zvyšuje riziko přítomnosti škodlivých účinků.</w:t>
      </w:r>
    </w:p>
    <w:p w:rsidR="00B42254" w:rsidRPr="000A34F6" w:rsidRDefault="00B42254" w:rsidP="007110F0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Ekologická nerovnováha zapříčiněná působením škodlivých efektů na potravní řetězec. WEA dovede zhodnotit efekty látek na organismy a tím vytvořit pojítko chemií a ekologií. Nicméně ekologická rovnováha není zárukou nepřítomnosti škodlivých účinků.</w:t>
      </w:r>
    </w:p>
    <w:p w:rsidR="00487C1B" w:rsidRPr="000A34F6" w:rsidRDefault="009072CA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Aplikovatelnost WA je možná jak na přímé odpadní vody (výpusť přímo do povrchových vod) tak i na nepřímé odpadní vody (odpadní vody, které nejdříve projdou procesem přečištění před vypuštěním do povrchových vod). Oba typy odpadních vod by měly být vzaty v úvahu, protože mohou potenciálně způsobovat znečištění slaných vod. </w:t>
      </w:r>
    </w:p>
    <w:p w:rsidR="008C5EBD" w:rsidRPr="000A34F6" w:rsidRDefault="009072CA" w:rsidP="007110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3427012" cy="1598859"/>
            <wp:effectExtent l="0" t="0" r="254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18" cy="161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BD" w:rsidRPr="000A34F6" w:rsidRDefault="008C5EBD" w:rsidP="007110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 w:cstheme="minorHAnsi"/>
          <w:bCs/>
          <w:sz w:val="20"/>
          <w:szCs w:val="20"/>
        </w:rPr>
      </w:pPr>
      <w:r w:rsidRPr="000A34F6">
        <w:rPr>
          <w:rFonts w:ascii="Cambria" w:hAnsi="Cambria" w:cstheme="minorHAnsi"/>
          <w:bCs/>
          <w:sz w:val="20"/>
          <w:szCs w:val="20"/>
        </w:rPr>
        <w:t xml:space="preserve">Obrázek č. 1 – schéma přímé a nepřímé kontaminace povrchových vod </w:t>
      </w:r>
      <w:r w:rsidR="00D82638" w:rsidRPr="000A34F6">
        <w:rPr>
          <w:rFonts w:ascii="Cambria" w:hAnsi="Cambria" w:cstheme="minorHAnsi"/>
          <w:bCs/>
          <w:sz w:val="20"/>
          <w:szCs w:val="20"/>
        </w:rPr>
        <w:t>odpadními vodami</w:t>
      </w:r>
    </w:p>
    <w:p w:rsidR="00487C1B" w:rsidRPr="000A34F6" w:rsidRDefault="00487C1B" w:rsidP="007110F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:rsidR="00D82638" w:rsidRPr="000A34F6" w:rsidRDefault="004D0726" w:rsidP="007110F0">
      <w:pPr>
        <w:pStyle w:val="Nadpis2"/>
        <w:spacing w:before="0" w:line="240" w:lineRule="auto"/>
        <w:rPr>
          <w:rFonts w:ascii="Cambria" w:hAnsi="Cambria" w:cstheme="minorHAnsi"/>
          <w:b/>
          <w:sz w:val="24"/>
          <w:szCs w:val="24"/>
        </w:rPr>
      </w:pPr>
      <w:r w:rsidRPr="000A34F6">
        <w:rPr>
          <w:rFonts w:ascii="Cambria" w:hAnsi="Cambria" w:cstheme="minorHAnsi"/>
          <w:b/>
          <w:sz w:val="24"/>
          <w:szCs w:val="24"/>
        </w:rPr>
        <w:t>Postup testování</w:t>
      </w:r>
    </w:p>
    <w:p w:rsidR="00487C1B" w:rsidRPr="000A34F6" w:rsidRDefault="00487C1B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487C1B" w:rsidRPr="000A34F6" w:rsidRDefault="00D82638" w:rsidP="007110F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 xml:space="preserve">Pro prostředí mořských ekosystémů jsou nejzásadnějšími parametry perzistence, bioakumulace </w:t>
      </w:r>
      <w:r w:rsidR="0092250A" w:rsidRPr="000A34F6">
        <w:rPr>
          <w:rFonts w:ascii="Cambria" w:hAnsi="Cambria" w:cstheme="minorHAnsi"/>
          <w:sz w:val="24"/>
          <w:szCs w:val="24"/>
        </w:rPr>
        <w:t xml:space="preserve">a chronická toxicita látek. Avšak </w:t>
      </w:r>
      <w:r w:rsidRPr="000A34F6">
        <w:rPr>
          <w:rFonts w:ascii="Cambria" w:hAnsi="Cambria" w:cstheme="minorHAnsi"/>
          <w:sz w:val="24"/>
          <w:szCs w:val="24"/>
        </w:rPr>
        <w:t>i akutní toxicita</w:t>
      </w:r>
      <w:r w:rsidR="0092250A" w:rsidRPr="000A34F6">
        <w:rPr>
          <w:rFonts w:ascii="Cambria" w:hAnsi="Cambria" w:cstheme="minorHAnsi"/>
          <w:sz w:val="24"/>
          <w:szCs w:val="24"/>
        </w:rPr>
        <w:t xml:space="preserve"> by měla být </w:t>
      </w:r>
      <w:r w:rsidRPr="000A34F6">
        <w:rPr>
          <w:rFonts w:ascii="Cambria" w:hAnsi="Cambria" w:cstheme="minorHAnsi"/>
          <w:sz w:val="24"/>
          <w:szCs w:val="24"/>
        </w:rPr>
        <w:t>při předběžném screeningu brána v</w:t>
      </w:r>
      <w:r w:rsidR="0092250A" w:rsidRPr="000A34F6">
        <w:rPr>
          <w:rFonts w:ascii="Cambria" w:hAnsi="Cambria" w:cstheme="minorHAnsi"/>
          <w:sz w:val="24"/>
          <w:szCs w:val="24"/>
        </w:rPr>
        <w:t> </w:t>
      </w:r>
      <w:r w:rsidRPr="000A34F6">
        <w:rPr>
          <w:rFonts w:ascii="Cambria" w:hAnsi="Cambria" w:cstheme="minorHAnsi"/>
          <w:sz w:val="24"/>
          <w:szCs w:val="24"/>
        </w:rPr>
        <w:t>potaz</w:t>
      </w:r>
      <w:r w:rsidR="0092250A" w:rsidRPr="000A34F6">
        <w:rPr>
          <w:rFonts w:ascii="Cambria" w:hAnsi="Cambria" w:cstheme="minorHAnsi"/>
          <w:sz w:val="24"/>
          <w:szCs w:val="24"/>
        </w:rPr>
        <w:t>,</w:t>
      </w:r>
      <w:r w:rsidRPr="000A34F6">
        <w:rPr>
          <w:rFonts w:ascii="Cambria" w:hAnsi="Cambria" w:cstheme="minorHAnsi"/>
          <w:sz w:val="24"/>
          <w:szCs w:val="24"/>
        </w:rPr>
        <w:t xml:space="preserve"> a to v případě slaných i sladkých vod. </w:t>
      </w:r>
      <w:r w:rsidR="0092250A" w:rsidRPr="000A34F6">
        <w:rPr>
          <w:rFonts w:ascii="Cambria" w:hAnsi="Cambria" w:cstheme="minorHAnsi"/>
          <w:sz w:val="24"/>
          <w:szCs w:val="24"/>
        </w:rPr>
        <w:t xml:space="preserve">Perzistence by </w:t>
      </w:r>
      <w:r w:rsidR="00487C1B" w:rsidRPr="000A34F6">
        <w:rPr>
          <w:rFonts w:ascii="Cambria" w:hAnsi="Cambria" w:cstheme="minorHAnsi"/>
          <w:sz w:val="24"/>
          <w:szCs w:val="24"/>
        </w:rPr>
        <w:t>neměla být hodnocena samostatně, ale v kombinaci s ostatním parametry.</w:t>
      </w:r>
      <w:r w:rsidR="00217594" w:rsidRPr="000A34F6">
        <w:rPr>
          <w:rFonts w:ascii="Cambria" w:hAnsi="Cambria" w:cstheme="minorHAnsi"/>
          <w:sz w:val="24"/>
          <w:szCs w:val="24"/>
        </w:rPr>
        <w:t xml:space="preserve"> Perzistence u nepřímých odpadních vod by měla být měřena tak</w:t>
      </w:r>
      <w:r w:rsidR="0092250A" w:rsidRPr="000A34F6">
        <w:rPr>
          <w:rFonts w:ascii="Cambria" w:hAnsi="Cambria" w:cstheme="minorHAnsi"/>
          <w:sz w:val="24"/>
          <w:szCs w:val="24"/>
        </w:rPr>
        <w:t>,</w:t>
      </w:r>
      <w:r w:rsidR="00217594" w:rsidRPr="000A34F6">
        <w:rPr>
          <w:rFonts w:ascii="Cambria" w:hAnsi="Cambria" w:cstheme="minorHAnsi"/>
          <w:sz w:val="24"/>
          <w:szCs w:val="24"/>
        </w:rPr>
        <w:t xml:space="preserve"> aby byly simulovány podmínky, kterými látka pro</w:t>
      </w:r>
      <w:r w:rsidR="0092250A" w:rsidRPr="000A34F6">
        <w:rPr>
          <w:rFonts w:ascii="Cambria" w:hAnsi="Cambria" w:cstheme="minorHAnsi"/>
          <w:sz w:val="24"/>
          <w:szCs w:val="24"/>
        </w:rPr>
        <w:t xml:space="preserve">chází </w:t>
      </w:r>
      <w:r w:rsidR="00217594" w:rsidRPr="000A34F6">
        <w:rPr>
          <w:rFonts w:ascii="Cambria" w:hAnsi="Cambria" w:cstheme="minorHAnsi"/>
          <w:sz w:val="24"/>
          <w:szCs w:val="24"/>
        </w:rPr>
        <w:t>při přečištění. Na základě stejného principu fungují i testy pro perzistenci u vzorků přímých odpadních vod.</w:t>
      </w:r>
      <w:r w:rsidR="00F44024" w:rsidRPr="000A34F6">
        <w:rPr>
          <w:rFonts w:ascii="Cambria" w:hAnsi="Cambria" w:cstheme="minorHAnsi"/>
          <w:sz w:val="24"/>
          <w:szCs w:val="24"/>
        </w:rPr>
        <w:t xml:space="preserve"> Dalšími</w:t>
      </w:r>
      <w:r w:rsidR="00496757" w:rsidRPr="000A34F6">
        <w:rPr>
          <w:rFonts w:ascii="Cambria" w:hAnsi="Cambria" w:cstheme="minorHAnsi"/>
          <w:sz w:val="24"/>
          <w:szCs w:val="24"/>
        </w:rPr>
        <w:t xml:space="preserve"> </w:t>
      </w:r>
      <w:r w:rsidR="0092250A" w:rsidRPr="000A34F6">
        <w:rPr>
          <w:rFonts w:ascii="Cambria" w:hAnsi="Cambria" w:cstheme="minorHAnsi"/>
          <w:sz w:val="24"/>
          <w:szCs w:val="24"/>
        </w:rPr>
        <w:t xml:space="preserve">hodnocenými </w:t>
      </w:r>
      <w:r w:rsidR="00496757" w:rsidRPr="000A34F6">
        <w:rPr>
          <w:rFonts w:ascii="Cambria" w:hAnsi="Cambria" w:cstheme="minorHAnsi"/>
          <w:sz w:val="24"/>
          <w:szCs w:val="24"/>
        </w:rPr>
        <w:t>parametry j</w:t>
      </w:r>
      <w:r w:rsidR="0092250A" w:rsidRPr="000A34F6">
        <w:rPr>
          <w:rFonts w:ascii="Cambria" w:hAnsi="Cambria" w:cstheme="minorHAnsi"/>
          <w:sz w:val="24"/>
          <w:szCs w:val="24"/>
        </w:rPr>
        <w:t>sou</w:t>
      </w:r>
      <w:r w:rsidR="00496757" w:rsidRPr="000A34F6">
        <w:rPr>
          <w:rFonts w:ascii="Cambria" w:hAnsi="Cambria" w:cstheme="minorHAnsi"/>
          <w:sz w:val="24"/>
          <w:szCs w:val="24"/>
        </w:rPr>
        <w:t xml:space="preserve"> mutagenita, genotoxicita a endokrinní disrupce.</w:t>
      </w:r>
    </w:p>
    <w:p w:rsidR="00217594" w:rsidRPr="000A34F6" w:rsidRDefault="00925728" w:rsidP="007110F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lastRenderedPageBreak/>
        <w:t>Pro chronickou a akutní toxicitu by měl být zvolen vhodný typ testu a měla by být použita více než jedna trofická úroveň pro zisk širší představy o tom jak daná látka působí na ekosystém. Obecně se využívají tři trofické úrovně (bakterie, řasy a korýši) pro hodnocení akutní toxicity. Chronické testy toxicity jsou v současné době méně pokročilé než testy akutní toxicity, měly by však být použity dvě trofické úrovně pro testování.</w:t>
      </w:r>
    </w:p>
    <w:p w:rsidR="004A1622" w:rsidRPr="000A34F6" w:rsidRDefault="004A1622" w:rsidP="007110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noProof/>
          <w:sz w:val="24"/>
          <w:szCs w:val="24"/>
          <w:lang w:eastAsia="cs-CZ"/>
        </w:rPr>
        <w:drawing>
          <wp:inline distT="0" distB="0" distL="0" distR="0">
            <wp:extent cx="2083242" cy="13593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25" cy="139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28" w:rsidRPr="000A34F6" w:rsidRDefault="004A1622" w:rsidP="007110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theme="minorHAnsi"/>
          <w:sz w:val="20"/>
          <w:szCs w:val="20"/>
        </w:rPr>
      </w:pPr>
      <w:r w:rsidRPr="000A34F6">
        <w:rPr>
          <w:rFonts w:ascii="Cambria" w:hAnsi="Cambria" w:cstheme="minorHAnsi"/>
          <w:sz w:val="20"/>
          <w:szCs w:val="20"/>
        </w:rPr>
        <w:t xml:space="preserve">Obrázek č. 2 – diagram znázorňující </w:t>
      </w:r>
      <w:r w:rsidR="00487C1B" w:rsidRPr="000A34F6">
        <w:rPr>
          <w:rFonts w:ascii="Cambria" w:hAnsi="Cambria" w:cstheme="minorHAnsi"/>
          <w:sz w:val="20"/>
          <w:szCs w:val="20"/>
        </w:rPr>
        <w:t>postup testování</w:t>
      </w:r>
    </w:p>
    <w:p w:rsidR="00BC01E6" w:rsidRPr="000A34F6" w:rsidRDefault="00BC01E6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BC01E6" w:rsidRPr="000A34F6" w:rsidRDefault="00BC01E6" w:rsidP="007110F0">
      <w:pPr>
        <w:pStyle w:val="Nadpis3"/>
        <w:spacing w:before="0" w:line="240" w:lineRule="auto"/>
        <w:rPr>
          <w:rFonts w:ascii="Cambria" w:hAnsi="Cambria" w:cstheme="minorHAnsi"/>
          <w:u w:val="single"/>
        </w:rPr>
      </w:pPr>
      <w:r w:rsidRPr="000A34F6">
        <w:rPr>
          <w:rFonts w:ascii="Cambria" w:hAnsi="Cambria" w:cstheme="minorHAnsi"/>
          <w:u w:val="single"/>
        </w:rPr>
        <w:t>Stupňovitý přístup pro testování perzistence</w:t>
      </w:r>
    </w:p>
    <w:p w:rsidR="00BC01E6" w:rsidRPr="000A34F6" w:rsidRDefault="00BC01E6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ab/>
        <w:t>V základním diagramu je perzistence testována společně s ostatními parametry. Nicméně zde existují jisté nevýhody tohoto potupu. Testy perzistence trvají alespoň 7-28 dní, což zabraňuje rychlé analýze odpadních vod. Dále jsou k vzorku přidávány pufry a různá jiná aditiva, která mohou snižovat citlivost testů.</w:t>
      </w:r>
    </w:p>
    <w:p w:rsidR="00BC01E6" w:rsidRPr="000A34F6" w:rsidRDefault="00BC01E6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ab/>
        <w:t>V prvním stupni je nejdříve testována toxicita a bioakumulace. A pouze pokud se u testovaných vzorků zaznamenána zvýšená hladina u některého z těchto parametrů je přistoupeno k druhému stupni. Druhý stupeň začíná vhodným testem perzistence</w:t>
      </w:r>
      <w:r w:rsidR="00E06910" w:rsidRPr="000A34F6">
        <w:rPr>
          <w:rFonts w:ascii="Cambria" w:hAnsi="Cambria" w:cstheme="minorHAnsi"/>
          <w:sz w:val="24"/>
          <w:szCs w:val="24"/>
        </w:rPr>
        <w:t xml:space="preserve"> (opět je rozdíl mezi přímými a nepřímými odpadními vodami)</w:t>
      </w:r>
      <w:r w:rsidRPr="000A34F6">
        <w:rPr>
          <w:rFonts w:ascii="Cambria" w:hAnsi="Cambria" w:cstheme="minorHAnsi"/>
          <w:sz w:val="24"/>
          <w:szCs w:val="24"/>
        </w:rPr>
        <w:t xml:space="preserve"> a dále pokračuje testem pro ten daný parametr, který byl v prvním stupni zvýšený. </w:t>
      </w:r>
      <w:r w:rsidR="00E06910" w:rsidRPr="000A34F6">
        <w:rPr>
          <w:rFonts w:ascii="Cambria" w:hAnsi="Cambria" w:cstheme="minorHAnsi"/>
          <w:sz w:val="24"/>
          <w:szCs w:val="24"/>
        </w:rPr>
        <w:t xml:space="preserve">Druhý stupeň ukáže, zda škodlivé účinky jako toxicita a bioakumulace prokázané v prvním stupni budou perzistentní nebo budou odbourány na čističkách odpadních vod. </w:t>
      </w:r>
    </w:p>
    <w:p w:rsidR="008F6507" w:rsidRPr="000A34F6" w:rsidRDefault="00E06910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ab/>
        <w:t xml:space="preserve">Tento přístup je možné využít vždy pro poměrně rychlé předběžné zhodnocení kvality odpadních vod. Důležitým faktorem pro výběr stupňovitého přístupu je </w:t>
      </w:r>
      <w:r w:rsidR="0030191F" w:rsidRPr="000A34F6">
        <w:rPr>
          <w:rFonts w:ascii="Cambria" w:hAnsi="Cambria" w:cstheme="minorHAnsi"/>
          <w:sz w:val="24"/>
          <w:szCs w:val="24"/>
        </w:rPr>
        <w:t xml:space="preserve">typ čištění odpadních vod. </w:t>
      </w:r>
    </w:p>
    <w:p w:rsidR="00B6151B" w:rsidRPr="000A34F6" w:rsidRDefault="00B6151B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30191F" w:rsidRPr="000A34F6" w:rsidRDefault="008F329F" w:rsidP="007110F0">
      <w:pPr>
        <w:pStyle w:val="Nadpis3"/>
        <w:spacing w:before="0" w:line="240" w:lineRule="auto"/>
        <w:rPr>
          <w:rFonts w:ascii="Cambria" w:hAnsi="Cambria" w:cstheme="minorHAnsi"/>
          <w:u w:val="single"/>
        </w:rPr>
      </w:pPr>
      <w:r w:rsidRPr="000A34F6">
        <w:rPr>
          <w:rFonts w:ascii="Cambria" w:hAnsi="Cambria" w:cstheme="minorHAnsi"/>
          <w:u w:val="single"/>
        </w:rPr>
        <w:t>Zkrácený</w:t>
      </w:r>
      <w:r w:rsidR="0030191F" w:rsidRPr="000A34F6">
        <w:rPr>
          <w:rFonts w:ascii="Cambria" w:hAnsi="Cambria" w:cstheme="minorHAnsi"/>
          <w:u w:val="single"/>
        </w:rPr>
        <w:t xml:space="preserve"> přístup pro testy chronické toxicity</w:t>
      </w:r>
    </w:p>
    <w:p w:rsidR="004D0726" w:rsidRPr="000A34F6" w:rsidRDefault="0030191F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  <w:t xml:space="preserve">Podobě, jako v předchozím případě je testováni chronické toxicity důležitým parametrem, nicméně je také časově a finančně náročné na provedení. Ve specifických případech je možné použít testy biakumulace jako indikátor pro chronickou toxicitu. </w:t>
      </w:r>
      <w:r w:rsidR="00451399" w:rsidRPr="000A34F6">
        <w:rPr>
          <w:rFonts w:ascii="Cambria" w:hAnsi="Cambria" w:cstheme="minorHAnsi"/>
          <w:bCs/>
          <w:sz w:val="24"/>
          <w:szCs w:val="24"/>
        </w:rPr>
        <w:t>Například v petrochemickém průmyslu kde je většina látek bez specifického účinku může být chronická toxicita způsobena jen látkami s bioakumulativním charakterem. V takovém případě je tedy proveden nejprve proveden test na bioakumulaci. Pokud je prokázána bioakumulativnost je dále proveden test na chronickou toxicitu. Vzorky u kterých je možné tento postup aplikovat musejí být velmi pečivě vybírány dle místa odkud byly vzorkovány.</w:t>
      </w:r>
    </w:p>
    <w:p w:rsidR="008A6924" w:rsidRPr="000A34F6" w:rsidRDefault="008A6924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451399" w:rsidRPr="000A34F6" w:rsidRDefault="00270CDA" w:rsidP="007110F0">
      <w:pPr>
        <w:pStyle w:val="Nadpis2"/>
        <w:spacing w:before="0" w:line="240" w:lineRule="auto"/>
        <w:rPr>
          <w:rFonts w:ascii="Cambria" w:hAnsi="Cambria" w:cstheme="minorHAnsi"/>
          <w:b/>
          <w:sz w:val="24"/>
          <w:szCs w:val="24"/>
        </w:rPr>
      </w:pPr>
      <w:r w:rsidRPr="000A34F6">
        <w:rPr>
          <w:rFonts w:ascii="Cambria" w:hAnsi="Cambria" w:cstheme="minorHAnsi"/>
          <w:b/>
          <w:sz w:val="24"/>
          <w:szCs w:val="24"/>
        </w:rPr>
        <w:t>Sada testů pro WEA</w:t>
      </w:r>
    </w:p>
    <w:p w:rsidR="00451399" w:rsidRPr="000A34F6" w:rsidRDefault="00451399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4D6055" w:rsidRPr="000A34F6" w:rsidRDefault="00291133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  <w:t>Č</w:t>
      </w:r>
      <w:r w:rsidR="00270CDA" w:rsidRPr="000A34F6">
        <w:rPr>
          <w:rFonts w:ascii="Cambria" w:hAnsi="Cambria" w:cstheme="minorHAnsi"/>
          <w:bCs/>
          <w:sz w:val="24"/>
          <w:szCs w:val="24"/>
        </w:rPr>
        <w:t>asto je možné se setkat s velkými odlišnostmi v kvalitě odpadních vod. Asi není možné sestavit obecnou sadu testů, která vždy naplní předpoklady pro správné zhodnocení situace. Proto byly sestaveny dvě sady testů: běžná sada (common</w:t>
      </w:r>
      <w:r w:rsidR="00A75F0D" w:rsidRPr="000A34F6">
        <w:rPr>
          <w:rFonts w:ascii="Cambria" w:hAnsi="Cambria" w:cstheme="minorHAnsi"/>
          <w:bCs/>
          <w:sz w:val="24"/>
          <w:szCs w:val="24"/>
        </w:rPr>
        <w:t xml:space="preserve"> </w:t>
      </w:r>
      <w:r w:rsidR="00270CDA" w:rsidRPr="000A34F6">
        <w:rPr>
          <w:rFonts w:ascii="Cambria" w:hAnsi="Cambria" w:cstheme="minorHAnsi"/>
          <w:bCs/>
          <w:sz w:val="24"/>
          <w:szCs w:val="24"/>
        </w:rPr>
        <w:t>toolbox) a vol</w:t>
      </w:r>
      <w:r w:rsidRPr="000A34F6">
        <w:rPr>
          <w:rFonts w:ascii="Cambria" w:hAnsi="Cambria" w:cstheme="minorHAnsi"/>
          <w:bCs/>
          <w:sz w:val="24"/>
          <w:szCs w:val="24"/>
        </w:rPr>
        <w:t>itelná sada (optional</w:t>
      </w:r>
      <w:r w:rsidR="00A75F0D" w:rsidRPr="000A34F6">
        <w:rPr>
          <w:rFonts w:ascii="Cambria" w:hAnsi="Cambria" w:cstheme="minorHAnsi"/>
          <w:bCs/>
          <w:sz w:val="24"/>
          <w:szCs w:val="24"/>
        </w:rPr>
        <w:t xml:space="preserve"> 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toolbox). </w:t>
      </w:r>
      <w:r w:rsidR="00270CDA" w:rsidRPr="000A34F6">
        <w:rPr>
          <w:rFonts w:ascii="Cambria" w:hAnsi="Cambria" w:cstheme="minorHAnsi"/>
          <w:bCs/>
          <w:sz w:val="24"/>
          <w:szCs w:val="24"/>
        </w:rPr>
        <w:t>Běžná sada obsahuje testy, které jsou obecně využívány a technicky nejvíce do</w:t>
      </w:r>
      <w:r w:rsidRPr="000A34F6">
        <w:rPr>
          <w:rFonts w:ascii="Cambria" w:hAnsi="Cambria" w:cstheme="minorHAnsi"/>
          <w:bCs/>
          <w:sz w:val="24"/>
          <w:szCs w:val="24"/>
        </w:rPr>
        <w:t>v</w:t>
      </w:r>
      <w:r w:rsidR="00270CDA" w:rsidRPr="000A34F6">
        <w:rPr>
          <w:rFonts w:ascii="Cambria" w:hAnsi="Cambria" w:cstheme="minorHAnsi"/>
          <w:bCs/>
          <w:sz w:val="24"/>
          <w:szCs w:val="24"/>
        </w:rPr>
        <w:t xml:space="preserve">edeny k dokonalosti. Volitelná sada 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naopak </w:t>
      </w:r>
      <w:r w:rsidR="00270CDA" w:rsidRPr="000A34F6">
        <w:rPr>
          <w:rFonts w:ascii="Cambria" w:hAnsi="Cambria" w:cstheme="minorHAnsi"/>
          <w:bCs/>
          <w:sz w:val="24"/>
          <w:szCs w:val="24"/>
        </w:rPr>
        <w:t xml:space="preserve">obsahuje testy 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méně využívané, které nejsou prozatím technicky natolik dokonalé. Testy z volitelné sady je tedy možné používat ve specifických případech, kdy se běžná sada může jevit nedostatečná. </w:t>
      </w:r>
      <w:r w:rsidR="004D6055" w:rsidRPr="000A34F6">
        <w:rPr>
          <w:rFonts w:ascii="Cambria" w:hAnsi="Cambria" w:cstheme="minorHAnsi"/>
          <w:bCs/>
          <w:sz w:val="24"/>
          <w:szCs w:val="24"/>
        </w:rPr>
        <w:t xml:space="preserve">WEA obsahuje testy pro různé případy a umožňuje specifické testování šité na míru dané situace.  </w:t>
      </w:r>
    </w:p>
    <w:p w:rsidR="00D51287" w:rsidRPr="000A34F6" w:rsidRDefault="00D51287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D51287" w:rsidRPr="000A34F6" w:rsidRDefault="00291133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A34F6">
        <w:rPr>
          <w:rFonts w:ascii="Cambria" w:hAnsi="Cambria" w:cstheme="minorHAnsi"/>
          <w:b/>
          <w:bCs/>
          <w:i/>
          <w:sz w:val="24"/>
          <w:szCs w:val="24"/>
        </w:rPr>
        <w:t>Akutní toxicita</w:t>
      </w:r>
    </w:p>
    <w:p w:rsidR="00291133" w:rsidRPr="000A34F6" w:rsidRDefault="00291133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  <w:t>Testy pro tento parametr jsou nejpokročilejší a existuje také největší spektrum možných testů.</w:t>
      </w:r>
      <w:r w:rsidR="00D51287" w:rsidRPr="000A34F6">
        <w:rPr>
          <w:rFonts w:ascii="Cambria" w:hAnsi="Cambria" w:cstheme="minorHAnsi"/>
          <w:bCs/>
          <w:sz w:val="24"/>
          <w:szCs w:val="24"/>
        </w:rPr>
        <w:t xml:space="preserve">, patří tedy do běžné sady. </w:t>
      </w:r>
      <w:r w:rsidR="00A374F9" w:rsidRPr="000A34F6">
        <w:rPr>
          <w:rFonts w:ascii="Cambria" w:hAnsi="Cambria" w:cstheme="minorHAnsi"/>
          <w:bCs/>
          <w:sz w:val="24"/>
          <w:szCs w:val="24"/>
        </w:rPr>
        <w:t>Nejčastěji se využívá testů na bakteriích, řasách</w:t>
      </w:r>
      <w:r w:rsidR="00B6151B" w:rsidRPr="000A34F6">
        <w:rPr>
          <w:rFonts w:ascii="Cambria" w:hAnsi="Cambria" w:cstheme="minorHAnsi"/>
          <w:bCs/>
          <w:sz w:val="24"/>
          <w:szCs w:val="24"/>
        </w:rPr>
        <w:t xml:space="preserve">, </w:t>
      </w:r>
      <w:r w:rsidR="00A374F9" w:rsidRPr="000A34F6">
        <w:rPr>
          <w:rFonts w:ascii="Cambria" w:hAnsi="Cambria" w:cstheme="minorHAnsi"/>
          <w:bCs/>
          <w:sz w:val="24"/>
          <w:szCs w:val="24"/>
        </w:rPr>
        <w:t>korýších</w:t>
      </w:r>
      <w:r w:rsidR="00B6151B" w:rsidRPr="000A34F6">
        <w:rPr>
          <w:rFonts w:ascii="Cambria" w:hAnsi="Cambria" w:cstheme="minorHAnsi"/>
          <w:bCs/>
          <w:sz w:val="24"/>
          <w:szCs w:val="24"/>
        </w:rPr>
        <w:t>, vířnících (</w:t>
      </w:r>
      <w:r w:rsidR="00B6151B" w:rsidRPr="000A34F6">
        <w:rPr>
          <w:rFonts w:ascii="Cambria" w:hAnsi="Cambria" w:cstheme="minorHAnsi"/>
          <w:bCs/>
          <w:i/>
          <w:sz w:val="24"/>
          <w:szCs w:val="24"/>
        </w:rPr>
        <w:t>Brachionus calyciflorus</w:t>
      </w:r>
      <w:r w:rsidR="00B6151B" w:rsidRPr="000A34F6">
        <w:rPr>
          <w:rFonts w:ascii="Cambria" w:hAnsi="Cambria" w:cstheme="minorHAnsi"/>
          <w:bCs/>
          <w:sz w:val="24"/>
          <w:szCs w:val="24"/>
        </w:rPr>
        <w:t>)</w:t>
      </w:r>
      <w:r w:rsidR="00A374F9" w:rsidRPr="000A34F6">
        <w:rPr>
          <w:rFonts w:ascii="Cambria" w:hAnsi="Cambria" w:cstheme="minorHAnsi"/>
          <w:bCs/>
          <w:sz w:val="24"/>
          <w:szCs w:val="24"/>
        </w:rPr>
        <w:t xml:space="preserve">. 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Zaměřují se například na faktory, kterými je přežití u perlooček (</w:t>
      </w:r>
      <w:r w:rsidR="00E25C6E" w:rsidRPr="000A34F6">
        <w:rPr>
          <w:rFonts w:ascii="Cambria" w:eastAsia="Times New Roman" w:hAnsi="Cambria" w:cstheme="minorHAnsi"/>
          <w:i/>
          <w:spacing w:val="2"/>
          <w:sz w:val="24"/>
          <w:szCs w:val="24"/>
          <w:lang w:eastAsia="cs-CZ"/>
        </w:rPr>
        <w:t>Daphnia magna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), luminiscence u bakterií </w:t>
      </w:r>
      <w:r w:rsidR="00E25C6E" w:rsidRPr="000A34F6">
        <w:rPr>
          <w:rFonts w:ascii="Cambria" w:eastAsia="Times New Roman" w:hAnsi="Cambria" w:cstheme="minorHAnsi"/>
          <w:i/>
          <w:spacing w:val="2"/>
          <w:sz w:val="24"/>
          <w:szCs w:val="24"/>
          <w:lang w:eastAsia="cs-CZ"/>
        </w:rPr>
        <w:t>Vibrio fisheri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a růst zelených růst.</w:t>
      </w:r>
      <w:r w:rsidR="00B6151B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Patří sem také 72 hodinový test klíčivosti semen hořčice bílé (</w:t>
      </w:r>
      <w:r w:rsidR="00B6151B" w:rsidRPr="000A34F6">
        <w:rPr>
          <w:rFonts w:ascii="Cambria" w:eastAsia="Times New Roman" w:hAnsi="Cambria" w:cstheme="minorHAnsi"/>
          <w:i/>
          <w:spacing w:val="2"/>
          <w:sz w:val="24"/>
          <w:szCs w:val="24"/>
          <w:lang w:eastAsia="cs-CZ"/>
        </w:rPr>
        <w:t>Sinapis alba</w:t>
      </w:r>
      <w:r w:rsidR="00B6151B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)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</w:t>
      </w:r>
      <w:r w:rsidR="00A374F9" w:rsidRPr="000A34F6">
        <w:rPr>
          <w:rFonts w:ascii="Cambria" w:hAnsi="Cambria" w:cstheme="minorHAnsi"/>
          <w:bCs/>
          <w:sz w:val="24"/>
          <w:szCs w:val="24"/>
        </w:rPr>
        <w:t>Testy jsou vhodné pro všechny typy vod (sladké, slané, brakic</w:t>
      </w:r>
      <w:r w:rsidR="00D51287" w:rsidRPr="000A34F6">
        <w:rPr>
          <w:rFonts w:ascii="Cambria" w:hAnsi="Cambria" w:cstheme="minorHAnsi"/>
          <w:bCs/>
          <w:sz w:val="24"/>
          <w:szCs w:val="24"/>
        </w:rPr>
        <w:t xml:space="preserve">ké) a ideálně by měly být testy se vzorky slané vody testovány na organismech, které se žijí ve slané vodě apod. </w:t>
      </w:r>
    </w:p>
    <w:p w:rsidR="00F2059E" w:rsidRPr="000A34F6" w:rsidRDefault="00F2059E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F2059E" w:rsidRPr="000A34F6" w:rsidRDefault="00F2059E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lang w:eastAsia="cs-CZ"/>
        </w:rPr>
      </w:pPr>
      <w:r w:rsidRPr="000A34F6">
        <w:rPr>
          <w:rFonts w:ascii="Cambria" w:hAnsi="Cambria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1903413" cy="1265237"/>
            <wp:effectExtent l="19050" t="0" r="1587" b="0"/>
            <wp:docPr id="3" name="obrázek 1" descr="http://upload.wikimedia.org/wikipedia/commons/thumb/4/49/Nihonmedaka.jpg/256px-Nihonmeda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3" descr="http://upload.wikimedia.org/wikipedia/commons/thumb/4/49/Nihonmedaka.jpg/256px-Nihonmeda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13" cy="126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F6">
        <w:rPr>
          <w:rFonts w:ascii="Cambria" w:hAnsi="Cambria"/>
          <w:noProof/>
          <w:lang w:eastAsia="cs-CZ"/>
        </w:rPr>
        <w:t xml:space="preserve"> </w:t>
      </w:r>
      <w:r w:rsidRPr="000A34F6">
        <w:rPr>
          <w:rFonts w:ascii="Cambria" w:hAnsi="Cambria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1754187" cy="1265237"/>
            <wp:effectExtent l="19050" t="0" r="0" b="0"/>
            <wp:docPr id="4" name="obrázek 2" descr="http://upload.wikimedia.org/wikipedia/commons/c/c0/Daphnia_mag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5" descr="http://upload.wikimedia.org/wikipedia/commons/c/c0/Daphnia_magn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7" cy="126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F6">
        <w:rPr>
          <w:rFonts w:ascii="Cambria" w:hAnsi="Cambria"/>
          <w:noProof/>
          <w:lang w:eastAsia="cs-CZ"/>
        </w:rPr>
        <w:t xml:space="preserve"> </w:t>
      </w:r>
      <w:r w:rsidRPr="000A34F6">
        <w:rPr>
          <w:rFonts w:ascii="Cambria" w:hAnsi="Cambria"/>
          <w:noProof/>
          <w:lang w:eastAsia="cs-CZ"/>
        </w:rPr>
        <w:drawing>
          <wp:inline distT="0" distB="0" distL="0" distR="0">
            <wp:extent cx="782637" cy="1127125"/>
            <wp:effectExtent l="19050" t="0" r="0" b="0"/>
            <wp:docPr id="5" name="obrázek 3" descr="http://www.biolib.cz/IMG/GAL/1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7" descr="http://www.biolib.cz/IMG/GAL/16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6915" r="14680" b="45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37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9D" w:rsidRPr="000A34F6" w:rsidRDefault="00B3619D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0A34F6">
        <w:rPr>
          <w:rFonts w:ascii="Cambria" w:hAnsi="Cambria" w:cstheme="minorHAnsi"/>
          <w:bCs/>
          <w:sz w:val="20"/>
          <w:szCs w:val="20"/>
        </w:rPr>
        <w:t>Obrázek č. 3 – Testy se provádějí např. na medace japonské, hrotnatce velké, slávičce mnohotvárné.</w:t>
      </w:r>
    </w:p>
    <w:p w:rsidR="00291133" w:rsidRPr="000A34F6" w:rsidRDefault="00291133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D51287" w:rsidRPr="000A34F6" w:rsidRDefault="00D51287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A34F6">
        <w:rPr>
          <w:rFonts w:ascii="Cambria" w:hAnsi="Cambria" w:cstheme="minorHAnsi"/>
          <w:b/>
          <w:bCs/>
          <w:i/>
          <w:sz w:val="24"/>
          <w:szCs w:val="24"/>
        </w:rPr>
        <w:t>Chronická toxicita</w:t>
      </w:r>
    </w:p>
    <w:p w:rsidR="00E25C6E" w:rsidRPr="000A34F6" w:rsidRDefault="00D51287" w:rsidP="00E25C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</w:r>
      <w:r w:rsidR="0092250A" w:rsidRPr="000A34F6">
        <w:rPr>
          <w:rFonts w:ascii="Cambria" w:hAnsi="Cambria" w:cstheme="minorHAnsi"/>
          <w:bCs/>
          <w:sz w:val="24"/>
          <w:szCs w:val="24"/>
        </w:rPr>
        <w:t>Testy chronické toxicity jsou m</w:t>
      </w:r>
      <w:r w:rsidRPr="000A34F6">
        <w:rPr>
          <w:rFonts w:ascii="Cambria" w:hAnsi="Cambria" w:cstheme="minorHAnsi"/>
          <w:bCs/>
          <w:sz w:val="24"/>
          <w:szCs w:val="24"/>
        </w:rPr>
        <w:t>éně běžné než testy akutní toxicity</w:t>
      </w:r>
      <w:r w:rsidR="0092250A" w:rsidRPr="000A34F6">
        <w:rPr>
          <w:rFonts w:ascii="Cambria" w:hAnsi="Cambria" w:cstheme="minorHAnsi"/>
          <w:bCs/>
          <w:sz w:val="24"/>
          <w:szCs w:val="24"/>
        </w:rPr>
        <w:t>, ale</w:t>
      </w:r>
      <w:r w:rsidR="0089081E" w:rsidRPr="000A34F6">
        <w:rPr>
          <w:rFonts w:ascii="Cambria" w:hAnsi="Cambria" w:cstheme="minorHAnsi"/>
          <w:bCs/>
          <w:sz w:val="24"/>
          <w:szCs w:val="24"/>
        </w:rPr>
        <w:t xml:space="preserve"> opět se nachází v běžné sadě testů. </w:t>
      </w:r>
      <w:r w:rsidRPr="000A34F6">
        <w:rPr>
          <w:rFonts w:ascii="Cambria" w:hAnsi="Cambria" w:cstheme="minorHAnsi"/>
          <w:bCs/>
          <w:sz w:val="24"/>
          <w:szCs w:val="24"/>
        </w:rPr>
        <w:t>K testovaným organismů</w:t>
      </w:r>
      <w:r w:rsidR="0092250A" w:rsidRPr="000A34F6">
        <w:rPr>
          <w:rFonts w:ascii="Cambria" w:hAnsi="Cambria" w:cstheme="minorHAnsi"/>
          <w:bCs/>
          <w:sz w:val="24"/>
          <w:szCs w:val="24"/>
        </w:rPr>
        <w:t>m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 patří bakterie, řasy</w:t>
      </w:r>
      <w:r w:rsidR="00B6151B" w:rsidRPr="000A34F6">
        <w:rPr>
          <w:rFonts w:ascii="Cambria" w:hAnsi="Cambria" w:cstheme="minorHAnsi"/>
          <w:bCs/>
          <w:sz w:val="24"/>
          <w:szCs w:val="24"/>
        </w:rPr>
        <w:t xml:space="preserve"> (</w:t>
      </w:r>
      <w:r w:rsidR="00B6151B" w:rsidRPr="000A34F6">
        <w:rPr>
          <w:rFonts w:ascii="Cambria" w:hAnsi="Cambria" w:cstheme="minorHAnsi"/>
          <w:bCs/>
          <w:i/>
          <w:sz w:val="24"/>
          <w:szCs w:val="24"/>
        </w:rPr>
        <w:t>Scenedesmus quadricauda</w:t>
      </w:r>
      <w:r w:rsidR="00B6151B" w:rsidRPr="000A34F6">
        <w:rPr>
          <w:rFonts w:ascii="Cambria" w:hAnsi="Cambria" w:cstheme="minorHAnsi"/>
          <w:bCs/>
          <w:sz w:val="24"/>
          <w:szCs w:val="24"/>
        </w:rPr>
        <w:t>)</w:t>
      </w:r>
      <w:r w:rsidRPr="000A34F6">
        <w:rPr>
          <w:rFonts w:ascii="Cambria" w:hAnsi="Cambria" w:cstheme="minorHAnsi"/>
          <w:bCs/>
          <w:sz w:val="24"/>
          <w:szCs w:val="24"/>
        </w:rPr>
        <w:t>, korýši, vířníci, plži, ryby a rostliny</w:t>
      </w:r>
      <w:r w:rsidR="00E25C6E" w:rsidRPr="000A34F6">
        <w:rPr>
          <w:rFonts w:ascii="Cambria" w:hAnsi="Cambria" w:cstheme="minorHAnsi"/>
          <w:bCs/>
          <w:sz w:val="24"/>
          <w:szCs w:val="24"/>
        </w:rPr>
        <w:t xml:space="preserve"> (např. </w:t>
      </w:r>
      <w:r w:rsidR="00E25C6E" w:rsidRPr="000A34F6">
        <w:rPr>
          <w:rFonts w:ascii="Cambria" w:hAnsi="Cambria" w:cstheme="minorHAnsi"/>
          <w:bCs/>
          <w:i/>
          <w:sz w:val="24"/>
          <w:szCs w:val="24"/>
        </w:rPr>
        <w:t>Lemna minor</w:t>
      </w:r>
      <w:r w:rsidR="00E25C6E" w:rsidRPr="000A34F6">
        <w:rPr>
          <w:rFonts w:ascii="Cambria" w:hAnsi="Cambria" w:cstheme="minorHAnsi"/>
          <w:bCs/>
          <w:sz w:val="24"/>
          <w:szCs w:val="24"/>
        </w:rPr>
        <w:t>)</w:t>
      </w:r>
      <w:r w:rsidRPr="000A34F6">
        <w:rPr>
          <w:rFonts w:ascii="Cambria" w:hAnsi="Cambria" w:cstheme="minorHAnsi"/>
          <w:bCs/>
          <w:sz w:val="24"/>
          <w:szCs w:val="24"/>
        </w:rPr>
        <w:t>.</w:t>
      </w:r>
      <w:r w:rsidR="00E25C6E" w:rsidRPr="000A34F6">
        <w:rPr>
          <w:rFonts w:ascii="Cambria" w:hAnsi="Cambria" w:cstheme="minorHAnsi"/>
          <w:bCs/>
          <w:sz w:val="24"/>
          <w:szCs w:val="24"/>
        </w:rPr>
        <w:t xml:space="preserve"> 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Expozice </w:t>
      </w:r>
      <w:r w:rsidR="0092250A" w:rsidRPr="000A34F6">
        <w:rPr>
          <w:rFonts w:ascii="Cambria" w:hAnsi="Cambria" w:cstheme="minorHAnsi"/>
          <w:bCs/>
          <w:sz w:val="24"/>
          <w:szCs w:val="24"/>
        </w:rPr>
        <w:t>trvá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 v rozmezí 16 hodin až po 90 dní, což se odvíjí od životního cyklu testovaných organismů</w:t>
      </w:r>
      <w:r w:rsidR="00E25C6E" w:rsidRPr="000A34F6">
        <w:rPr>
          <w:rFonts w:ascii="Cambria" w:hAnsi="Cambria" w:cstheme="minorHAnsi"/>
          <w:bCs/>
          <w:sz w:val="24"/>
          <w:szCs w:val="24"/>
        </w:rPr>
        <w:t>; jedná se o dlouhodobé testy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. Nejčastějším endpointem je inhibice růstu </w:t>
      </w:r>
      <w:r w:rsidR="0089081E" w:rsidRPr="000A34F6">
        <w:rPr>
          <w:rFonts w:ascii="Cambria" w:hAnsi="Cambria" w:cstheme="minorHAnsi"/>
          <w:bCs/>
          <w:sz w:val="24"/>
          <w:szCs w:val="24"/>
        </w:rPr>
        <w:t>a testy jsou designovány jako statické, pouze 30% je semi-statických.</w:t>
      </w:r>
    </w:p>
    <w:p w:rsidR="00A027B0" w:rsidRPr="000A34F6" w:rsidRDefault="00A027B0" w:rsidP="00E25C6E">
      <w:pPr>
        <w:shd w:val="clear" w:color="auto" w:fill="FFFFFF"/>
        <w:spacing w:after="0" w:line="240" w:lineRule="auto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Jedním z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 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problémů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odpadních vod je bioakumulovatelnost 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chemick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ých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lát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e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k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. Je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jich dopady 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se tak většinou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pr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ojeví až po delší době expozice. A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krátkodob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é testy je tak nezachytí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. Dlouhodobé testy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umožňují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posouzení dopadů na životní funkce organism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ů v různých 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fázích životního cyklu, včetně rozmnožování, růst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u, pod vlivem hormonálních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změn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nebo dopad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ů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na jejich genetick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ý</w:t>
      </w:r>
      <w:r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 xml:space="preserve"> materiál</w:t>
      </w:r>
      <w:r w:rsidR="00E25C6E" w:rsidRPr="000A34F6">
        <w:rPr>
          <w:rFonts w:ascii="Cambria" w:eastAsia="Times New Roman" w:hAnsi="Cambria" w:cstheme="minorHAnsi"/>
          <w:spacing w:val="2"/>
          <w:sz w:val="24"/>
          <w:szCs w:val="24"/>
          <w:lang w:eastAsia="cs-CZ"/>
        </w:rPr>
        <w:t>.</w:t>
      </w:r>
    </w:p>
    <w:p w:rsidR="004D6055" w:rsidRPr="000A34F6" w:rsidRDefault="00B6151B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2326585" cy="1499864"/>
            <wp:effectExtent l="19050" t="0" r="0" b="0"/>
            <wp:docPr id="6" name="obrázek 1" descr="C:\Users\Marketka\Desktop\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ka\Desktop\6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93" cy="150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F6">
        <w:rPr>
          <w:rFonts w:ascii="Cambria" w:hAnsi="Cambria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2262975" cy="1512004"/>
            <wp:effectExtent l="19050" t="0" r="3975" b="0"/>
            <wp:docPr id="7" name="obrázek 2" descr="C:\Users\Marketka\Desktop\Acanthocyclops_kopepodit_P10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ka\Desktop\Acanthocyclops_kopepodit_P10100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83" cy="151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1B" w:rsidRPr="000A34F6" w:rsidRDefault="00B6151B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0A34F6">
        <w:rPr>
          <w:rFonts w:ascii="Cambria" w:hAnsi="Cambria" w:cstheme="minorHAnsi"/>
          <w:bCs/>
          <w:sz w:val="20"/>
          <w:szCs w:val="20"/>
        </w:rPr>
        <w:t>Obrázek č. 4 – Testy se provádějí např. na nitěnkách a buchankách.</w:t>
      </w:r>
    </w:p>
    <w:p w:rsidR="00B6151B" w:rsidRPr="000A34F6" w:rsidRDefault="00B6151B" w:rsidP="007110F0">
      <w:pPr>
        <w:spacing w:after="0" w:line="240" w:lineRule="auto"/>
        <w:contextualSpacing/>
        <w:jc w:val="both"/>
        <w:rPr>
          <w:rFonts w:ascii="Cambria" w:hAnsi="Cambria" w:cstheme="minorHAnsi"/>
          <w:b/>
          <w:i/>
          <w:sz w:val="24"/>
          <w:szCs w:val="24"/>
        </w:rPr>
      </w:pPr>
    </w:p>
    <w:p w:rsidR="004D6055" w:rsidRPr="000A34F6" w:rsidRDefault="004D6055" w:rsidP="007110F0">
      <w:pPr>
        <w:spacing w:after="0" w:line="240" w:lineRule="auto"/>
        <w:contextualSpacing/>
        <w:jc w:val="both"/>
        <w:rPr>
          <w:rFonts w:ascii="Cambria" w:hAnsi="Cambria" w:cstheme="minorHAnsi"/>
          <w:b/>
          <w:i/>
          <w:sz w:val="24"/>
          <w:szCs w:val="24"/>
        </w:rPr>
      </w:pPr>
      <w:r w:rsidRPr="000A34F6">
        <w:rPr>
          <w:rFonts w:ascii="Cambria" w:hAnsi="Cambria" w:cstheme="minorHAnsi"/>
          <w:b/>
          <w:i/>
          <w:sz w:val="24"/>
          <w:szCs w:val="24"/>
        </w:rPr>
        <w:t>Perzistence</w:t>
      </w:r>
    </w:p>
    <w:p w:rsidR="004D6055" w:rsidRPr="000A34F6" w:rsidRDefault="004D6055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ab/>
        <w:t xml:space="preserve">Patří mezi složité parametry. Je zde využito biodegradace, nicméně existují faktory, které mohou ovlivnit perzistenci látek. Jsou používány testy, které simulují různé podmínky degradace, sorpce a chemické reakce. Dle WEA je doporučeno používat stupňovitý přístup a postupovat od jednodušších ke složitějším testům. </w:t>
      </w:r>
    </w:p>
    <w:p w:rsidR="0089081E" w:rsidRPr="000A34F6" w:rsidRDefault="0089081E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89081E" w:rsidRPr="000A34F6" w:rsidRDefault="0089081E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A34F6">
        <w:rPr>
          <w:rFonts w:ascii="Cambria" w:hAnsi="Cambria" w:cstheme="minorHAnsi"/>
          <w:b/>
          <w:bCs/>
          <w:i/>
          <w:sz w:val="24"/>
          <w:szCs w:val="24"/>
        </w:rPr>
        <w:t>B</w:t>
      </w:r>
      <w:r w:rsidR="008F329F" w:rsidRPr="000A34F6">
        <w:rPr>
          <w:rFonts w:ascii="Cambria" w:hAnsi="Cambria" w:cstheme="minorHAnsi"/>
          <w:b/>
          <w:bCs/>
          <w:i/>
          <w:sz w:val="24"/>
          <w:szCs w:val="24"/>
        </w:rPr>
        <w:t>i</w:t>
      </w:r>
      <w:r w:rsidRPr="000A34F6">
        <w:rPr>
          <w:rFonts w:ascii="Cambria" w:hAnsi="Cambria" w:cstheme="minorHAnsi"/>
          <w:b/>
          <w:bCs/>
          <w:i/>
          <w:sz w:val="24"/>
          <w:szCs w:val="24"/>
        </w:rPr>
        <w:t>oakumulace</w:t>
      </w:r>
    </w:p>
    <w:p w:rsidR="004D6055" w:rsidRPr="000A34F6" w:rsidRDefault="0089081E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  <w:t>Je možné využít dva typů testů a to extrakci kapalina – kapalina a mikroextrakce na pevnou fázi. Druhá metoda je modernější a lépe ukazuje možnou bioakumulaci na úrovni ekosystému, pracuje také pouze s</w:t>
      </w:r>
      <w:r w:rsidR="000F5883" w:rsidRPr="000A34F6">
        <w:rPr>
          <w:rFonts w:ascii="Cambria" w:hAnsi="Cambria" w:cstheme="minorHAnsi"/>
          <w:bCs/>
          <w:sz w:val="24"/>
          <w:szCs w:val="24"/>
        </w:rPr>
        <w:t> </w:t>
      </w:r>
      <w:r w:rsidRPr="000A34F6">
        <w:rPr>
          <w:rFonts w:ascii="Cambria" w:hAnsi="Cambria" w:cstheme="minorHAnsi"/>
          <w:bCs/>
          <w:sz w:val="24"/>
          <w:szCs w:val="24"/>
        </w:rPr>
        <w:t>bio</w:t>
      </w:r>
      <w:r w:rsidR="00496757" w:rsidRPr="000A34F6">
        <w:rPr>
          <w:rFonts w:ascii="Cambria" w:hAnsi="Cambria" w:cstheme="minorHAnsi"/>
          <w:bCs/>
          <w:sz w:val="24"/>
          <w:szCs w:val="24"/>
        </w:rPr>
        <w:t>dostupnou</w:t>
      </w:r>
      <w:r w:rsidR="000F5883" w:rsidRPr="000A34F6">
        <w:rPr>
          <w:rFonts w:ascii="Cambria" w:hAnsi="Cambria" w:cstheme="minorHAnsi"/>
          <w:bCs/>
          <w:sz w:val="24"/>
          <w:szCs w:val="24"/>
        </w:rPr>
        <w:t xml:space="preserve"> </w:t>
      </w:r>
      <w:r w:rsidR="004D6055" w:rsidRPr="000A34F6">
        <w:rPr>
          <w:rFonts w:ascii="Cambria" w:hAnsi="Cambria" w:cstheme="minorHAnsi"/>
          <w:bCs/>
          <w:sz w:val="24"/>
          <w:szCs w:val="24"/>
        </w:rPr>
        <w:t>složkou kontaminantu.</w:t>
      </w:r>
    </w:p>
    <w:p w:rsidR="00F44024" w:rsidRPr="000A34F6" w:rsidRDefault="00F44024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496757" w:rsidRPr="000A34F6" w:rsidRDefault="00496757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A34F6">
        <w:rPr>
          <w:rFonts w:ascii="Cambria" w:hAnsi="Cambria" w:cstheme="minorHAnsi"/>
          <w:b/>
          <w:bCs/>
          <w:i/>
          <w:sz w:val="24"/>
          <w:szCs w:val="24"/>
        </w:rPr>
        <w:t>Mutagenita, genotoxicita a endokrinní disrupce</w:t>
      </w:r>
    </w:p>
    <w:p w:rsidR="004D6055" w:rsidRPr="000A34F6" w:rsidRDefault="00496757" w:rsidP="007110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0A34F6">
        <w:rPr>
          <w:rFonts w:ascii="Cambria" w:hAnsi="Cambria" w:cstheme="minorHAnsi"/>
          <w:bCs/>
          <w:sz w:val="24"/>
          <w:szCs w:val="24"/>
        </w:rPr>
        <w:tab/>
        <w:t>Tyto testy se řídí mezinárodními standardizovanými testy.</w:t>
      </w:r>
      <w:r w:rsidR="00354AAF" w:rsidRPr="000A34F6">
        <w:rPr>
          <w:rFonts w:ascii="Cambria" w:hAnsi="Cambria" w:cstheme="minorHAnsi"/>
          <w:bCs/>
          <w:sz w:val="24"/>
          <w:szCs w:val="24"/>
        </w:rPr>
        <w:t xml:space="preserve"> Mutagenní účinky látek</w:t>
      </w:r>
      <w:r w:rsidR="00E6724E" w:rsidRPr="000A34F6">
        <w:rPr>
          <w:rFonts w:ascii="Cambria" w:hAnsi="Cambria" w:cstheme="minorHAnsi"/>
          <w:bCs/>
          <w:sz w:val="24"/>
          <w:szCs w:val="24"/>
        </w:rPr>
        <w:t xml:space="preserve"> jsou</w:t>
      </w:r>
      <w:r w:rsidR="00354AAF" w:rsidRPr="000A34F6">
        <w:rPr>
          <w:rFonts w:ascii="Cambria" w:hAnsi="Cambria" w:cstheme="minorHAnsi"/>
          <w:bCs/>
          <w:sz w:val="24"/>
          <w:szCs w:val="24"/>
        </w:rPr>
        <w:t xml:space="preserve"> zjišť</w:t>
      </w:r>
      <w:r w:rsidR="00E6724E" w:rsidRPr="000A34F6">
        <w:rPr>
          <w:rFonts w:ascii="Cambria" w:hAnsi="Cambria" w:cstheme="minorHAnsi"/>
          <w:bCs/>
          <w:sz w:val="24"/>
          <w:szCs w:val="24"/>
        </w:rPr>
        <w:t xml:space="preserve">ovány </w:t>
      </w:r>
      <w:r w:rsidR="00354AAF" w:rsidRPr="000A34F6">
        <w:rPr>
          <w:rFonts w:ascii="Cambria" w:hAnsi="Cambria" w:cstheme="minorHAnsi"/>
          <w:bCs/>
          <w:sz w:val="24"/>
          <w:szCs w:val="24"/>
        </w:rPr>
        <w:t xml:space="preserve">pomocí Amesova testu na speciálním kmeni bakterie </w:t>
      </w:r>
      <w:r w:rsidR="00354AAF" w:rsidRPr="000A34F6">
        <w:rPr>
          <w:rFonts w:ascii="Cambria" w:hAnsi="Cambria" w:cstheme="minorHAnsi"/>
          <w:bCs/>
          <w:i/>
          <w:sz w:val="24"/>
          <w:szCs w:val="24"/>
        </w:rPr>
        <w:t>Salmonella typhimurium</w:t>
      </w:r>
      <w:r w:rsidR="00354AAF" w:rsidRPr="000A34F6">
        <w:rPr>
          <w:rFonts w:ascii="Cambria" w:hAnsi="Cambria" w:cstheme="minorHAnsi"/>
          <w:bCs/>
          <w:sz w:val="24"/>
          <w:szCs w:val="24"/>
        </w:rPr>
        <w:t>.</w:t>
      </w:r>
      <w:r w:rsidRPr="000A34F6">
        <w:rPr>
          <w:rFonts w:ascii="Cambria" w:hAnsi="Cambria" w:cstheme="minorHAnsi"/>
          <w:bCs/>
          <w:sz w:val="24"/>
          <w:szCs w:val="24"/>
        </w:rPr>
        <w:t xml:space="preserve"> </w:t>
      </w:r>
    </w:p>
    <w:p w:rsidR="00B42254" w:rsidRPr="000A34F6" w:rsidRDefault="00B42254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7110F0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0A34F6" w:rsidRDefault="000A34F6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0A34F6" w:rsidRPr="000A34F6" w:rsidRDefault="000A34F6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171132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LITERATURA</w:t>
      </w: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171132" w:rsidRPr="000A34F6" w:rsidRDefault="00E628DE" w:rsidP="00E6724E">
      <w:pPr>
        <w:pStyle w:val="Nadpis2"/>
        <w:shd w:val="clear" w:color="auto" w:fill="FFFFFF"/>
        <w:spacing w:before="0" w:line="240" w:lineRule="auto"/>
        <w:jc w:val="both"/>
        <w:rPr>
          <w:rFonts w:ascii="Cambria" w:hAnsi="Cambria" w:cstheme="minorHAnsi"/>
          <w:sz w:val="20"/>
          <w:szCs w:val="20"/>
        </w:rPr>
      </w:pPr>
      <w:hyperlink r:id="rId16" w:history="1">
        <w:bookmarkStart w:id="1" w:name="_Toc386714281"/>
        <w:bookmarkStart w:id="2" w:name="_Toc386714441"/>
        <w:bookmarkStart w:id="3" w:name="_Toc387248843"/>
        <w:r w:rsidR="00171132" w:rsidRPr="000A34F6">
          <w:rPr>
            <w:rStyle w:val="Hypertextovodkaz"/>
            <w:rFonts w:ascii="Cambria" w:hAnsi="Cambria" w:cstheme="minorHAnsi"/>
            <w:b/>
            <w:color w:val="auto"/>
            <w:sz w:val="20"/>
            <w:szCs w:val="20"/>
            <w:u w:val="none"/>
          </w:rPr>
          <w:t>Holling</w:t>
        </w:r>
      </w:hyperlink>
      <w:r w:rsidR="00171132" w:rsidRPr="000A34F6">
        <w:rPr>
          <w:rStyle w:val="authorlink"/>
          <w:rFonts w:ascii="Cambria" w:hAnsi="Cambria" w:cstheme="minorHAnsi"/>
          <w:b/>
          <w:sz w:val="20"/>
          <w:szCs w:val="20"/>
        </w:rPr>
        <w:t xml:space="preserve">, C., S., </w:t>
      </w:r>
      <w:hyperlink r:id="rId17" w:history="1">
        <w:r w:rsidR="00171132" w:rsidRPr="000A34F6">
          <w:rPr>
            <w:rStyle w:val="Hypertextovodkaz"/>
            <w:rFonts w:ascii="Cambria" w:hAnsi="Cambria" w:cstheme="minorHAnsi"/>
            <w:b/>
            <w:color w:val="auto"/>
            <w:sz w:val="20"/>
            <w:szCs w:val="20"/>
            <w:u w:val="none"/>
          </w:rPr>
          <w:t>Bailey</w:t>
        </w:r>
      </w:hyperlink>
      <w:r w:rsidR="00171132" w:rsidRPr="000A34F6">
        <w:rPr>
          <w:rStyle w:val="authorlink"/>
          <w:rFonts w:ascii="Cambria" w:hAnsi="Cambria" w:cstheme="minorHAnsi"/>
          <w:b/>
          <w:sz w:val="20"/>
          <w:szCs w:val="20"/>
        </w:rPr>
        <w:t>, J., L.,</w:t>
      </w:r>
      <w:hyperlink r:id="rId18" w:history="1">
        <w:r w:rsidR="00171132" w:rsidRPr="000A34F6">
          <w:rPr>
            <w:rStyle w:val="Hypertextovodkaz"/>
            <w:rFonts w:ascii="Cambria" w:hAnsi="Cambria" w:cstheme="minorHAnsi"/>
            <w:b/>
            <w:color w:val="auto"/>
            <w:sz w:val="20"/>
            <w:szCs w:val="20"/>
            <w:u w:val="none"/>
          </w:rPr>
          <w:t>Brian Vanden Heuvel</w:t>
        </w:r>
      </w:hyperlink>
      <w:r w:rsidR="00171132" w:rsidRPr="000A34F6">
        <w:rPr>
          <w:rStyle w:val="authorlink"/>
          <w:rFonts w:ascii="Cambria" w:hAnsi="Cambria" w:cstheme="minorHAnsi"/>
          <w:b/>
          <w:sz w:val="20"/>
          <w:szCs w:val="20"/>
          <w:vertAlign w:val="superscript"/>
        </w:rPr>
        <w:t xml:space="preserve">, </w:t>
      </w:r>
      <w:r w:rsidR="00171132" w:rsidRPr="000A34F6">
        <w:rPr>
          <w:rStyle w:val="authorlink"/>
          <w:rFonts w:ascii="Cambria" w:hAnsi="Cambria" w:cstheme="minorHAnsi"/>
          <w:b/>
          <w:sz w:val="20"/>
          <w:szCs w:val="20"/>
        </w:rPr>
        <w:t xml:space="preserve">B., V., </w:t>
      </w:r>
      <w:hyperlink r:id="rId19" w:history="1">
        <w:r w:rsidR="00171132" w:rsidRPr="000A34F6">
          <w:rPr>
            <w:rStyle w:val="Hypertextovodkaz"/>
            <w:rFonts w:ascii="Cambria" w:hAnsi="Cambria" w:cstheme="minorHAnsi"/>
            <w:b/>
            <w:color w:val="auto"/>
            <w:sz w:val="20"/>
            <w:szCs w:val="20"/>
            <w:u w:val="none"/>
          </w:rPr>
          <w:t>Kinney</w:t>
        </w:r>
      </w:hyperlink>
      <w:r w:rsidR="00171132" w:rsidRPr="000A34F6">
        <w:rPr>
          <w:rStyle w:val="authorlink"/>
          <w:rFonts w:ascii="Cambria" w:hAnsi="Cambria" w:cstheme="minorHAnsi"/>
          <w:b/>
          <w:sz w:val="20"/>
          <w:szCs w:val="20"/>
        </w:rPr>
        <w:t xml:space="preserve">, C., A. </w:t>
      </w:r>
      <w:r w:rsidR="00171132" w:rsidRPr="000A34F6">
        <w:rPr>
          <w:rStyle w:val="authorlink"/>
          <w:rFonts w:ascii="Cambria" w:hAnsi="Cambria" w:cstheme="minorHAnsi"/>
          <w:sz w:val="20"/>
          <w:szCs w:val="20"/>
        </w:rPr>
        <w:t xml:space="preserve">2012: </w:t>
      </w:r>
      <w:r w:rsidR="00171132" w:rsidRPr="000A34F6">
        <w:rPr>
          <w:rFonts w:ascii="Cambria" w:hAnsi="Cambria" w:cstheme="minorHAnsi"/>
          <w:sz w:val="20"/>
          <w:szCs w:val="20"/>
        </w:rPr>
        <w:t>Uptake of human</w:t>
      </w:r>
      <w:r w:rsidR="00171132" w:rsidRPr="000A34F6">
        <w:rPr>
          <w:rStyle w:val="apple-converted-space"/>
          <w:rFonts w:ascii="Cambria" w:hAnsi="Cambria" w:cstheme="minorHAnsi"/>
          <w:bCs/>
          <w:sz w:val="20"/>
          <w:szCs w:val="20"/>
        </w:rPr>
        <w:t> </w:t>
      </w:r>
      <w:r w:rsidR="00171132" w:rsidRPr="000A34F6">
        <w:rPr>
          <w:rFonts w:ascii="Cambria" w:hAnsi="Cambria" w:cstheme="minorHAnsi"/>
          <w:sz w:val="20"/>
          <w:szCs w:val="20"/>
        </w:rPr>
        <w:t>pharmaceuticals</w:t>
      </w:r>
      <w:r w:rsidR="00171132" w:rsidRPr="000A34F6">
        <w:rPr>
          <w:rStyle w:val="apple-converted-space"/>
          <w:rFonts w:ascii="Cambria" w:hAnsi="Cambria" w:cstheme="minorHAnsi"/>
          <w:bCs/>
          <w:sz w:val="20"/>
          <w:szCs w:val="20"/>
        </w:rPr>
        <w:t> </w:t>
      </w:r>
      <w:r w:rsidR="00171132" w:rsidRPr="000A34F6">
        <w:rPr>
          <w:rFonts w:ascii="Cambria" w:hAnsi="Cambria" w:cstheme="minorHAnsi"/>
          <w:sz w:val="20"/>
          <w:szCs w:val="20"/>
        </w:rPr>
        <w:t>and personal care products by cabbage (</w:t>
      </w:r>
      <w:r w:rsidR="00171132" w:rsidRPr="000A34F6">
        <w:rPr>
          <w:rStyle w:val="Zvraznn"/>
          <w:rFonts w:ascii="Cambria" w:hAnsi="Cambria" w:cstheme="minorHAnsi"/>
          <w:bCs/>
          <w:sz w:val="20"/>
          <w:szCs w:val="20"/>
        </w:rPr>
        <w:t>Brassica campestris</w:t>
      </w:r>
      <w:r w:rsidR="00171132" w:rsidRPr="000A34F6">
        <w:rPr>
          <w:rFonts w:ascii="Cambria" w:hAnsi="Cambria" w:cstheme="minorHAnsi"/>
          <w:sz w:val="20"/>
          <w:szCs w:val="20"/>
        </w:rPr>
        <w:t xml:space="preserve">) from fortified and biosolids-amended soils. </w:t>
      </w:r>
      <w:r w:rsidR="00171132" w:rsidRPr="000A34F6">
        <w:rPr>
          <w:rStyle w:val="authorlink"/>
          <w:rFonts w:ascii="Cambria" w:hAnsi="Cambria" w:cstheme="minorHAnsi"/>
          <w:sz w:val="20"/>
          <w:szCs w:val="20"/>
        </w:rPr>
        <w:t> </w:t>
      </w:r>
      <w:r w:rsidR="00171132" w:rsidRPr="000A34F6">
        <w:rPr>
          <w:rStyle w:val="Siln"/>
          <w:rFonts w:ascii="Cambria" w:hAnsi="Cambria" w:cstheme="minorHAnsi"/>
          <w:i/>
          <w:iCs/>
          <w:sz w:val="20"/>
          <w:szCs w:val="20"/>
        </w:rPr>
        <w:t>J. Environ. Monit.</w:t>
      </w:r>
      <w:r w:rsidR="00171132" w:rsidRPr="000A34F6">
        <w:rPr>
          <w:rFonts w:ascii="Cambria" w:hAnsi="Cambria" w:cstheme="minorHAnsi"/>
          <w:sz w:val="20"/>
          <w:szCs w:val="20"/>
        </w:rPr>
        <w:t xml:space="preserve"> 14: 3029-3036.</w:t>
      </w:r>
      <w:bookmarkEnd w:id="1"/>
      <w:bookmarkEnd w:id="2"/>
      <w:bookmarkEnd w:id="3"/>
    </w:p>
    <w:p w:rsidR="00171132" w:rsidRPr="000A34F6" w:rsidRDefault="00171132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171132" w:rsidRPr="000A34F6" w:rsidRDefault="00171132" w:rsidP="00E6724E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0A34F6">
        <w:rPr>
          <w:rFonts w:ascii="Cambria" w:hAnsi="Cambria" w:cstheme="minorHAnsi"/>
          <w:b/>
          <w:sz w:val="20"/>
          <w:szCs w:val="20"/>
        </w:rPr>
        <w:t xml:space="preserve">Kotyza, J., Soudek, P., Kafka, Z., Vaněk, T. </w:t>
      </w:r>
      <w:r w:rsidRPr="000A34F6">
        <w:rPr>
          <w:rFonts w:ascii="Cambria" w:hAnsi="Cambria" w:cstheme="minorHAnsi"/>
          <w:sz w:val="20"/>
          <w:szCs w:val="20"/>
        </w:rPr>
        <w:t xml:space="preserve">2009: </w:t>
      </w:r>
      <w:r w:rsidRPr="000A34F6">
        <w:rPr>
          <w:rFonts w:ascii="Cambria" w:hAnsi="Cambria" w:cstheme="minorHAnsi"/>
          <w:iCs/>
          <w:sz w:val="20"/>
          <w:szCs w:val="20"/>
        </w:rPr>
        <w:t>Léčiva – „nový“ environmentální polutant</w:t>
      </w:r>
      <w:r w:rsidRPr="000A34F6">
        <w:rPr>
          <w:rFonts w:ascii="Cambria" w:hAnsi="Cambria" w:cstheme="minorHAnsi"/>
          <w:i/>
          <w:iCs/>
          <w:sz w:val="20"/>
          <w:szCs w:val="20"/>
        </w:rPr>
        <w:t xml:space="preserve">. </w:t>
      </w:r>
      <w:r w:rsidRPr="000A34F6">
        <w:rPr>
          <w:rFonts w:ascii="Cambria" w:hAnsi="Cambria" w:cstheme="minorHAnsi"/>
          <w:i/>
          <w:sz w:val="20"/>
          <w:szCs w:val="20"/>
        </w:rPr>
        <w:t>Chemické listy</w:t>
      </w:r>
      <w:r w:rsidRPr="000A34F6">
        <w:rPr>
          <w:rFonts w:ascii="Cambria" w:hAnsi="Cambria" w:cstheme="minorHAnsi"/>
          <w:sz w:val="20"/>
          <w:szCs w:val="20"/>
        </w:rPr>
        <w:t>, 540-547.</w:t>
      </w:r>
    </w:p>
    <w:p w:rsidR="00B922AA" w:rsidRPr="000A34F6" w:rsidRDefault="00B922AA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6724E" w:rsidRPr="000A34F6" w:rsidRDefault="00E6724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0A34F6">
        <w:rPr>
          <w:rFonts w:ascii="Cambria" w:hAnsi="Cambria" w:cstheme="minorHAnsi"/>
          <w:b/>
          <w:sz w:val="20"/>
          <w:szCs w:val="20"/>
        </w:rPr>
        <w:t>Power, E. et Boumphrey, R., S.</w:t>
      </w:r>
      <w:r w:rsidRPr="000A34F6">
        <w:rPr>
          <w:rFonts w:ascii="Cambria" w:hAnsi="Cambria" w:cstheme="minorHAnsi"/>
          <w:sz w:val="20"/>
          <w:szCs w:val="20"/>
        </w:rPr>
        <w:t xml:space="preserve"> 2004: International trends in bioassay use for effluent management. Ecotoxicol. 13: 377-398.</w:t>
      </w:r>
    </w:p>
    <w:p w:rsidR="00B922AA" w:rsidRPr="000A34F6" w:rsidRDefault="00B922AA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B922AA" w:rsidRPr="000A34F6" w:rsidRDefault="008065D1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0A34F6">
        <w:rPr>
          <w:rFonts w:ascii="Cambria" w:hAnsi="Cambria" w:cstheme="minorHAnsi"/>
          <w:sz w:val="24"/>
          <w:szCs w:val="24"/>
        </w:rPr>
        <w:t>I</w:t>
      </w:r>
      <w:r w:rsidR="00E6724E" w:rsidRPr="000A34F6">
        <w:rPr>
          <w:rFonts w:ascii="Cambria" w:hAnsi="Cambria" w:cstheme="minorHAnsi"/>
          <w:sz w:val="24"/>
          <w:szCs w:val="24"/>
        </w:rPr>
        <w:t>NTERNETOVÉ ZDROJE</w:t>
      </w:r>
    </w:p>
    <w:p w:rsidR="00E441E4" w:rsidRPr="000A34F6" w:rsidRDefault="00E441E4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441E4" w:rsidRDefault="00E628D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hyperlink r:id="rId20" w:history="1">
        <w:r w:rsidR="00E441E4" w:rsidRPr="000A34F6">
          <w:rPr>
            <w:rStyle w:val="Hypertextovodkaz"/>
            <w:rFonts w:ascii="Cambria" w:hAnsi="Cambria" w:cstheme="minorHAnsi"/>
            <w:color w:val="auto"/>
            <w:sz w:val="20"/>
            <w:szCs w:val="20"/>
            <w:u w:val="none"/>
          </w:rPr>
          <w:t>http://www.ospar.org/documents/dbase/publications/p00316/p00316_wea%20guidance%20document.pdf</w:t>
        </w:r>
      </w:hyperlink>
    </w:p>
    <w:p w:rsidR="00820EC5" w:rsidRPr="000A34F6" w:rsidRDefault="00820EC5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E441E4" w:rsidRPr="000A34F6" w:rsidRDefault="00E628DE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hyperlink r:id="rId21" w:history="1">
        <w:r w:rsidR="00E441E4" w:rsidRPr="000A34F6">
          <w:rPr>
            <w:rStyle w:val="Hypertextovodkaz"/>
            <w:rFonts w:ascii="Cambria" w:hAnsi="Cambria" w:cstheme="minorHAnsi"/>
            <w:color w:val="auto"/>
            <w:sz w:val="20"/>
            <w:szCs w:val="20"/>
            <w:u w:val="none"/>
          </w:rPr>
          <w:t>http://meeting.helcom.fi/c/document_library/get_file?p_l_id=16324&amp;folderId=1561980&amp;name=DLFE-47017.pdf</w:t>
        </w:r>
      </w:hyperlink>
    </w:p>
    <w:p w:rsidR="008065D1" w:rsidRPr="000A34F6" w:rsidRDefault="008065D1" w:rsidP="00E6724E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8065D1" w:rsidRPr="000A34F6" w:rsidRDefault="00E628DE" w:rsidP="007110F0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hyperlink r:id="rId22" w:history="1">
        <w:r w:rsidR="008065D1" w:rsidRPr="000A34F6">
          <w:rPr>
            <w:rStyle w:val="Hypertextovodkaz"/>
            <w:rFonts w:ascii="Cambria" w:hAnsi="Cambria" w:cstheme="minorHAnsi"/>
            <w:color w:val="auto"/>
            <w:sz w:val="20"/>
            <w:szCs w:val="20"/>
            <w:u w:val="none"/>
          </w:rPr>
          <w:t>http://www.cohiba-project.net/identification/en_GB/wea/</w:t>
        </w:r>
      </w:hyperlink>
    </w:p>
    <w:p w:rsidR="00003BC3" w:rsidRPr="000A34F6" w:rsidRDefault="00003BC3" w:rsidP="00784C1A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:rsidR="00A75F0D" w:rsidRPr="000A34F6" w:rsidRDefault="00A75F0D" w:rsidP="00784C1A">
      <w:pPr>
        <w:spacing w:after="0" w:line="24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sectPr w:rsidR="00A75F0D" w:rsidRPr="000A34F6" w:rsidSect="0069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5D8"/>
    <w:multiLevelType w:val="hybridMultilevel"/>
    <w:tmpl w:val="77242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40C4"/>
    <w:multiLevelType w:val="hybridMultilevel"/>
    <w:tmpl w:val="77242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8E"/>
    <w:rsid w:val="00003BC3"/>
    <w:rsid w:val="00013CD3"/>
    <w:rsid w:val="00091A4C"/>
    <w:rsid w:val="000A34F6"/>
    <w:rsid w:val="000C537B"/>
    <w:rsid w:val="000F4F9C"/>
    <w:rsid w:val="000F5883"/>
    <w:rsid w:val="00131DD3"/>
    <w:rsid w:val="00171132"/>
    <w:rsid w:val="00217594"/>
    <w:rsid w:val="0025678F"/>
    <w:rsid w:val="00270CDA"/>
    <w:rsid w:val="00291133"/>
    <w:rsid w:val="002D2896"/>
    <w:rsid w:val="0030191F"/>
    <w:rsid w:val="00354AAF"/>
    <w:rsid w:val="003C6AF2"/>
    <w:rsid w:val="00451399"/>
    <w:rsid w:val="00473489"/>
    <w:rsid w:val="00487C1B"/>
    <w:rsid w:val="00496757"/>
    <w:rsid w:val="004A1622"/>
    <w:rsid w:val="004D0726"/>
    <w:rsid w:val="004D6055"/>
    <w:rsid w:val="00566EDA"/>
    <w:rsid w:val="005A00D4"/>
    <w:rsid w:val="005D7AFC"/>
    <w:rsid w:val="006966DF"/>
    <w:rsid w:val="006C1DF3"/>
    <w:rsid w:val="006E6C30"/>
    <w:rsid w:val="007110F0"/>
    <w:rsid w:val="00777EBA"/>
    <w:rsid w:val="00784C1A"/>
    <w:rsid w:val="007B2BA7"/>
    <w:rsid w:val="008065D1"/>
    <w:rsid w:val="00820EC5"/>
    <w:rsid w:val="00874E09"/>
    <w:rsid w:val="0089081E"/>
    <w:rsid w:val="008A6924"/>
    <w:rsid w:val="008C5EBD"/>
    <w:rsid w:val="008F329F"/>
    <w:rsid w:val="008F6507"/>
    <w:rsid w:val="009072CA"/>
    <w:rsid w:val="0092250A"/>
    <w:rsid w:val="00925728"/>
    <w:rsid w:val="009322EE"/>
    <w:rsid w:val="009866CF"/>
    <w:rsid w:val="0099758E"/>
    <w:rsid w:val="00A027B0"/>
    <w:rsid w:val="00A374F9"/>
    <w:rsid w:val="00A376A8"/>
    <w:rsid w:val="00A75F0D"/>
    <w:rsid w:val="00B239FE"/>
    <w:rsid w:val="00B3619D"/>
    <w:rsid w:val="00B42254"/>
    <w:rsid w:val="00B6151B"/>
    <w:rsid w:val="00B63263"/>
    <w:rsid w:val="00B922AA"/>
    <w:rsid w:val="00BC01E6"/>
    <w:rsid w:val="00C20DB8"/>
    <w:rsid w:val="00C671E5"/>
    <w:rsid w:val="00CA4892"/>
    <w:rsid w:val="00D51287"/>
    <w:rsid w:val="00D53A5E"/>
    <w:rsid w:val="00D82638"/>
    <w:rsid w:val="00E06910"/>
    <w:rsid w:val="00E25C6E"/>
    <w:rsid w:val="00E441E4"/>
    <w:rsid w:val="00E628DE"/>
    <w:rsid w:val="00E6724E"/>
    <w:rsid w:val="00F2059E"/>
    <w:rsid w:val="00F4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6DF"/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8A6924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92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692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8A6924"/>
    <w:rPr>
      <w:rFonts w:eastAsiaTheme="majorEastAsia" w:cstheme="majorBidi"/>
      <w:color w:val="000000" w:themeColor="text1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A6924"/>
    <w:rPr>
      <w:rFonts w:eastAsiaTheme="majorEastAsia" w:cstheme="majorBidi"/>
      <w:color w:val="000000" w:themeColor="text1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6326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A6924"/>
    <w:rPr>
      <w:rFonts w:eastAsiaTheme="majorEastAsia" w:cstheme="majorBidi"/>
      <w:color w:val="000000" w:themeColor="tex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E44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1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29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qFormat/>
    <w:rsid w:val="00171132"/>
    <w:rPr>
      <w:i/>
      <w:iCs/>
    </w:rPr>
  </w:style>
  <w:style w:type="character" w:customStyle="1" w:styleId="apple-converted-space">
    <w:name w:val="apple-converted-space"/>
    <w:basedOn w:val="Standardnpsmoodstavce"/>
    <w:rsid w:val="00171132"/>
  </w:style>
  <w:style w:type="character" w:customStyle="1" w:styleId="authorlink">
    <w:name w:val="author_link"/>
    <w:basedOn w:val="Standardnpsmoodstavce"/>
    <w:rsid w:val="00171132"/>
  </w:style>
  <w:style w:type="character" w:styleId="Siln">
    <w:name w:val="Strong"/>
    <w:basedOn w:val="Standardnpsmoodstavce"/>
    <w:qFormat/>
    <w:rsid w:val="00171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6DF"/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8A6924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92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692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8A6924"/>
    <w:rPr>
      <w:rFonts w:eastAsiaTheme="majorEastAsia" w:cstheme="majorBidi"/>
      <w:color w:val="000000" w:themeColor="text1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A6924"/>
    <w:rPr>
      <w:rFonts w:eastAsiaTheme="majorEastAsia" w:cstheme="majorBidi"/>
      <w:color w:val="000000" w:themeColor="text1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6326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A6924"/>
    <w:rPr>
      <w:rFonts w:eastAsiaTheme="majorEastAsia" w:cstheme="majorBidi"/>
      <w:color w:val="000000" w:themeColor="tex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E44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1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29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qFormat/>
    <w:rsid w:val="00171132"/>
    <w:rPr>
      <w:i/>
      <w:iCs/>
    </w:rPr>
  </w:style>
  <w:style w:type="character" w:customStyle="1" w:styleId="apple-converted-space">
    <w:name w:val="apple-converted-space"/>
    <w:basedOn w:val="Standardnpsmoodstavce"/>
    <w:rsid w:val="00171132"/>
  </w:style>
  <w:style w:type="character" w:customStyle="1" w:styleId="authorlink">
    <w:name w:val="author_link"/>
    <w:basedOn w:val="Standardnpsmoodstavce"/>
    <w:rsid w:val="00171132"/>
  </w:style>
  <w:style w:type="character" w:styleId="Siln">
    <w:name w:val="Strong"/>
    <w:basedOn w:val="Standardnpsmoodstavce"/>
    <w:qFormat/>
    <w:rsid w:val="00171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pubs.rsc.org/EN/results?searchtext=Author%3ABrian%20Vanden%20Heuvel" TargetMode="External"/><Relationship Id="rId3" Type="http://schemas.openxmlformats.org/officeDocument/2006/relationships/styles" Target="styles.xml"/><Relationship Id="rId21" Type="http://schemas.openxmlformats.org/officeDocument/2006/relationships/hyperlink" Target="http://meeting.helcom.fi/c/document_library/get_file?p_l_id=16324&amp;folderId=1561980&amp;name=DLFE-47017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pubs.rsc.org/EN/results?searchtext=Author%3AJonathon%20L.%20Bail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s.rsc.org/EN/results?searchtext=Author%3ACheryl%20S.%20Holling" TargetMode="External"/><Relationship Id="rId20" Type="http://schemas.openxmlformats.org/officeDocument/2006/relationships/hyperlink" Target="http://www.ospar.org/documents/dbase/publications/p00316/p00316_wea%20guidance%20documen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pubs.rsc.org/EN/results?searchtext=Author%3AChad%20A.%20Kinn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cohiba-project.net/identification/en_GB/we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456B-8D9B-4A85-9984-42230A9B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Šulc</dc:creator>
  <cp:lastModifiedBy>hilscherova</cp:lastModifiedBy>
  <cp:revision>2</cp:revision>
  <dcterms:created xsi:type="dcterms:W3CDTF">2014-12-07T18:00:00Z</dcterms:created>
  <dcterms:modified xsi:type="dcterms:W3CDTF">2014-12-07T18:00:00Z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libor1991@gmail.com@www.mendeley.com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http://www.zotero.org/styles/acs-chemical-biology</vt:lpwstr>
  </property>
  <property fmtid="{D5CDD505-2E9C-101B-9397-08002B2CF9AE}" pid="6" name="Mendeley Recent Style Name 0_1">
    <vt:lpwstr>ACS Chemical Biology</vt:lpwstr>
  </property>
  <property fmtid="{D5CDD505-2E9C-101B-9397-08002B2CF9AE}" pid="7" name="Mendeley Recent Style Id 1_1">
    <vt:lpwstr>http://www.zotero.org/styles/american-chemical-society</vt:lpwstr>
  </property>
  <property fmtid="{D5CDD505-2E9C-101B-9397-08002B2CF9AE}" pid="8" name="Mendeley Recent Style Name 1_1">
    <vt:lpwstr>American Chemical Society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http://www.zotero.org/styles/analytical-chemistry</vt:lpwstr>
  </property>
  <property fmtid="{D5CDD505-2E9C-101B-9397-08002B2CF9AE}" pid="14" name="Mendeley Recent Style Name 4_1">
    <vt:lpwstr>Analytical Chemistry</vt:lpwstr>
  </property>
  <property fmtid="{D5CDD505-2E9C-101B-9397-08002B2CF9AE}" pid="15" name="Mendeley Recent Style Id 5_1">
    <vt:lpwstr>http://www.zotero.org/styles/ecotoxicology</vt:lpwstr>
  </property>
  <property fmtid="{D5CDD505-2E9C-101B-9397-08002B2CF9AE}" pid="16" name="Mendeley Recent Style Name 5_1">
    <vt:lpwstr>Ecotoxicology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