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F8C" w:rsidRPr="000F5206" w:rsidRDefault="00A346AE" w:rsidP="000F5206">
      <w:pPr>
        <w:jc w:val="center"/>
        <w:rPr>
          <w:b/>
          <w:sz w:val="32"/>
          <w:szCs w:val="32"/>
        </w:rPr>
      </w:pPr>
      <w:r w:rsidRPr="000F5206">
        <w:rPr>
          <w:b/>
          <w:sz w:val="32"/>
          <w:szCs w:val="32"/>
        </w:rPr>
        <w:t xml:space="preserve">CHECKLIST U STÁVAJÍCÍCH </w:t>
      </w:r>
      <w:r w:rsidR="000F5206" w:rsidRPr="000F5206">
        <w:rPr>
          <w:b/>
          <w:sz w:val="32"/>
          <w:szCs w:val="32"/>
        </w:rPr>
        <w:t xml:space="preserve">i BUDOUCÍCH </w:t>
      </w:r>
      <w:r w:rsidRPr="000F5206">
        <w:rPr>
          <w:b/>
          <w:sz w:val="32"/>
          <w:szCs w:val="32"/>
        </w:rPr>
        <w:t>PROFILŮ</w:t>
      </w:r>
    </w:p>
    <w:p w:rsidR="00A346AE" w:rsidRDefault="00A346AE"/>
    <w:p w:rsidR="00A346AE" w:rsidRDefault="00A346AE" w:rsidP="00A346AE">
      <w:pPr>
        <w:pStyle w:val="Odstavecseseznamem"/>
        <w:numPr>
          <w:ilvl w:val="0"/>
          <w:numId w:val="1"/>
        </w:numPr>
        <w:spacing w:after="360" w:line="360" w:lineRule="auto"/>
      </w:pPr>
      <w:r>
        <w:t>Nahradit „stereomodel“ na „stereoModel“</w:t>
      </w:r>
    </w:p>
    <w:p w:rsidR="00A346AE" w:rsidRDefault="00A346AE" w:rsidP="00A346AE">
      <w:pPr>
        <w:pStyle w:val="Odstavecseseznamem"/>
        <w:numPr>
          <w:ilvl w:val="0"/>
          <w:numId w:val="1"/>
        </w:numPr>
        <w:spacing w:after="360" w:line="360" w:lineRule="auto"/>
      </w:pPr>
      <w:r>
        <w:t>Nahradit „</w:t>
      </w:r>
      <w:r w:rsidRPr="00A346AE">
        <w:t>ML_gmx</w:t>
      </w:r>
      <w:r>
        <w:t>/</w:t>
      </w:r>
      <w:r w:rsidRPr="00A346AE">
        <w:t>Codelists</w:t>
      </w:r>
      <w:r>
        <w:t>“ za „</w:t>
      </w:r>
      <w:r w:rsidRPr="00A346AE">
        <w:t>ML_gmxCodelists</w:t>
      </w:r>
      <w:r>
        <w:t>“</w:t>
      </w:r>
    </w:p>
    <w:p w:rsidR="00A346AE" w:rsidRDefault="00A346AE" w:rsidP="00A346AE">
      <w:pPr>
        <w:pStyle w:val="Odstavecseseznamem"/>
        <w:numPr>
          <w:ilvl w:val="0"/>
          <w:numId w:val="1"/>
        </w:numPr>
        <w:spacing w:after="360" w:line="360" w:lineRule="auto"/>
      </w:pPr>
      <w:r w:rsidRPr="00A346AE">
        <w:rPr>
          <w:b/>
        </w:rPr>
        <w:t>N</w:t>
      </w:r>
      <w:r>
        <w:rPr>
          <w:b/>
        </w:rPr>
        <w:t>E</w:t>
      </w:r>
      <w:r>
        <w:t>měnit kardinalitu formField nazvaného „Časové referencie“ (ponechat formDuplicate=“0N“)</w:t>
      </w:r>
    </w:p>
    <w:p w:rsidR="00A346AE" w:rsidRDefault="00A346AE" w:rsidP="00A346AE">
      <w:pPr>
        <w:pStyle w:val="Odstavecseseznamem"/>
        <w:numPr>
          <w:ilvl w:val="0"/>
          <w:numId w:val="1"/>
        </w:numPr>
        <w:spacing w:after="360" w:line="360" w:lineRule="auto"/>
      </w:pPr>
      <w:r w:rsidRPr="00A346AE">
        <w:rPr>
          <w:b/>
        </w:rPr>
        <w:t>N</w:t>
      </w:r>
      <w:r>
        <w:rPr>
          <w:b/>
        </w:rPr>
        <w:t>e</w:t>
      </w:r>
      <w:r>
        <w:t>měnit kardinalitu u formField „Kódovanie“ (ponechat formDuplicate=“1N“)</w:t>
      </w:r>
    </w:p>
    <w:p w:rsidR="00A346AE" w:rsidRDefault="00A346AE" w:rsidP="00A346AE">
      <w:pPr>
        <w:pStyle w:val="Odstavecseseznamem"/>
        <w:numPr>
          <w:ilvl w:val="0"/>
          <w:numId w:val="1"/>
        </w:numPr>
        <w:spacing w:after="360" w:line="360" w:lineRule="auto"/>
      </w:pPr>
      <w:r>
        <w:t xml:space="preserve">Změnit hodnotu v tagu </w:t>
      </w:r>
      <w:r w:rsidRPr="00A346AE">
        <w:t>&lt;gmd:MD_TopicCategoryCode&gt;</w:t>
      </w:r>
      <w:r>
        <w:t xml:space="preserve"> podle těchto pravidel</w:t>
      </w:r>
      <w:r w:rsidR="009B2823">
        <w:t xml:space="preserve"> a smazat jiné hodnoty číselníku</w:t>
      </w:r>
      <w:bookmarkStart w:id="0" w:name="_GoBack"/>
      <w:bookmarkEnd w:id="0"/>
      <w:r>
        <w:t>:</w:t>
      </w:r>
    </w:p>
    <w:p w:rsidR="00A346AE" w:rsidRDefault="00A346AE" w:rsidP="00A346AE">
      <w:pPr>
        <w:pStyle w:val="Odstavecseseznamem"/>
        <w:spacing w:after="360" w:line="360" w:lineRule="auto"/>
      </w:pPr>
    </w:p>
    <w:p w:rsidR="00A346AE" w:rsidRDefault="00A346AE" w:rsidP="00A346AE">
      <w:pPr>
        <w:pStyle w:val="ti-grseq-1"/>
      </w:pPr>
      <w:r>
        <w:t>TEMATICKÉ KATEGÓRIE V SÚLADE S EN ISO 19115</w:t>
      </w:r>
    </w:p>
    <w:p w:rsidR="00A346AE" w:rsidRDefault="00A346AE" w:rsidP="00A346AE">
      <w:pPr>
        <w:pStyle w:val="ti-grseq-1"/>
        <w:contextualSpacing/>
      </w:pPr>
      <w:r>
        <w:t>2.1.   Poľnohospodárstvo (farming)</w:t>
      </w:r>
    </w:p>
    <w:p w:rsidR="00A346AE" w:rsidRDefault="00A346AE" w:rsidP="00A346AE">
      <w:pPr>
        <w:pStyle w:val="normal"/>
        <w:contextualSpacing/>
      </w:pPr>
      <w:r>
        <w:t>Chov zvierat a/alebo pestovanie rastlín.</w:t>
      </w:r>
    </w:p>
    <w:p w:rsidR="00A346AE" w:rsidRDefault="00A346AE" w:rsidP="00A346AE">
      <w:pPr>
        <w:pStyle w:val="normal"/>
        <w:contextualSpacing/>
      </w:pPr>
      <w:r>
        <w:t>Táto kategória sa vzťahuje na tému priestorových údajov uvedenú v smernici 2007/2/ES v prílohe III ods. 9 – Poľnohospodárske zariadenia a zariadenia akvakultúry.</w:t>
      </w:r>
    </w:p>
    <w:p w:rsidR="00A346AE" w:rsidRDefault="00A346AE" w:rsidP="00A346AE">
      <w:pPr>
        <w:pStyle w:val="ti-grseq-1"/>
        <w:contextualSpacing/>
      </w:pPr>
      <w:r>
        <w:t>2.2.   Biota (biota)</w:t>
      </w:r>
    </w:p>
    <w:p w:rsidR="00A346AE" w:rsidRDefault="00A346AE" w:rsidP="00A346AE">
      <w:pPr>
        <w:pStyle w:val="normal"/>
        <w:contextualSpacing/>
      </w:pPr>
      <w:r>
        <w:t>Flóra a/alebo fauna v prirodzenom prostredí.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III ods. 17 – Biogeografické regióny, v prílohe III ods. 18 – Habitaty a biotopy, v prílohe III ods. 19 – Výskyt druhov.</w:t>
      </w:r>
    </w:p>
    <w:p w:rsidR="00A346AE" w:rsidRDefault="00A346AE" w:rsidP="00A346AE">
      <w:pPr>
        <w:pStyle w:val="ti-grseq-1"/>
        <w:contextualSpacing/>
      </w:pPr>
      <w:r>
        <w:t>2.3.   Hranice (boundaries)</w:t>
      </w:r>
    </w:p>
    <w:p w:rsidR="00A346AE" w:rsidRDefault="00A346AE" w:rsidP="00A346AE">
      <w:pPr>
        <w:pStyle w:val="normal"/>
        <w:contextualSpacing/>
      </w:pPr>
      <w:r>
        <w:t>Opisy právnych vzťahov k pozemkom.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 ods. 4 – Správne jednotky, v prílohe III ods. 1 – Štatistické jednotky.</w:t>
      </w:r>
    </w:p>
    <w:p w:rsidR="00A346AE" w:rsidRDefault="00A346AE" w:rsidP="00A346AE">
      <w:pPr>
        <w:pStyle w:val="ti-grseq-1"/>
        <w:contextualSpacing/>
      </w:pPr>
      <w:r>
        <w:t>2.4.   Klimatológia/meteorológia/podnebie (climatologyMeteorologyAtmosphere)</w:t>
      </w:r>
    </w:p>
    <w:p w:rsidR="00A346AE" w:rsidRDefault="00A346AE" w:rsidP="00A346AE">
      <w:pPr>
        <w:pStyle w:val="normal"/>
        <w:contextualSpacing/>
      </w:pPr>
      <w:r>
        <w:t>Atmosférické procesy a javy.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III ods. 13 – Atmosférické podmienky, v prílohe III ods. 14 – Meteorologické geografické prvky.</w:t>
      </w:r>
    </w:p>
    <w:p w:rsidR="00A346AE" w:rsidRDefault="00A346AE" w:rsidP="00A346AE">
      <w:pPr>
        <w:pStyle w:val="ti-grseq-1"/>
        <w:contextualSpacing/>
      </w:pPr>
      <w:r>
        <w:t>2.5.   Hospodárstvo (economy)</w:t>
      </w:r>
    </w:p>
    <w:p w:rsidR="00A346AE" w:rsidRDefault="00A346AE" w:rsidP="00A346AE">
      <w:pPr>
        <w:pStyle w:val="normal"/>
        <w:contextualSpacing/>
      </w:pPr>
      <w:r>
        <w:t>Hospodárske činnosti, podmienky a zamestnanosť.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III ods. 20 – Zdroje energie, v prílohe III ods. 21 – Zdroje nerastných surovín.</w:t>
      </w:r>
    </w:p>
    <w:p w:rsidR="00A346AE" w:rsidRDefault="00A346AE" w:rsidP="00A346AE">
      <w:pPr>
        <w:pStyle w:val="ti-grseq-1"/>
        <w:contextualSpacing/>
      </w:pPr>
      <w:r>
        <w:lastRenderedPageBreak/>
        <w:t>2.6.   Nadmorská výška (elevation)</w:t>
      </w:r>
    </w:p>
    <w:p w:rsidR="00A346AE" w:rsidRDefault="00A346AE" w:rsidP="00A346AE">
      <w:pPr>
        <w:pStyle w:val="normal"/>
        <w:contextualSpacing/>
      </w:pPr>
      <w:r>
        <w:t>Výška nad alebo pod hladinou mora.</w:t>
      </w:r>
    </w:p>
    <w:p w:rsidR="00A346AE" w:rsidRDefault="00A346AE" w:rsidP="00A346AE">
      <w:pPr>
        <w:pStyle w:val="normal"/>
        <w:contextualSpacing/>
      </w:pPr>
      <w:r>
        <w:t>Táto kategória sa vzťahuje na tému priestorových údajov uvedenú v smernici 2007/2/ES: v prílohe II ods. 1 – Výška.</w:t>
      </w:r>
    </w:p>
    <w:p w:rsidR="00A346AE" w:rsidRDefault="00A346AE" w:rsidP="00A346AE">
      <w:pPr>
        <w:pStyle w:val="ti-grseq-1"/>
        <w:contextualSpacing/>
      </w:pPr>
      <w:r>
        <w:t>2.7.   Životné prostredie (environment)</w:t>
      </w:r>
    </w:p>
    <w:p w:rsidR="00A346AE" w:rsidRDefault="00A346AE" w:rsidP="00A346AE">
      <w:pPr>
        <w:pStyle w:val="normal"/>
        <w:contextualSpacing/>
      </w:pPr>
      <w:r>
        <w:t>Zdroje, ochrana a zachovanie životného prostredia.</w:t>
      </w:r>
    </w:p>
    <w:p w:rsidR="00A346AE" w:rsidRDefault="00A346AE" w:rsidP="00A346AE">
      <w:pPr>
        <w:pStyle w:val="normal"/>
        <w:contextualSpacing/>
      </w:pPr>
      <w:r>
        <w:t>Táto kategória sa vzťahuje na tému priestorových údajov uvedenú v smernici 2007/2/ES: v prílohe I ods. 9 – Chránené územia.</w:t>
      </w:r>
    </w:p>
    <w:p w:rsidR="00A346AE" w:rsidRDefault="00A346AE" w:rsidP="00A346AE">
      <w:pPr>
        <w:pStyle w:val="ti-grseq-1"/>
        <w:contextualSpacing/>
      </w:pPr>
      <w:r>
        <w:t>2.8.   Geovedné informácie (geoscientificInformation)</w:t>
      </w:r>
    </w:p>
    <w:p w:rsidR="00A346AE" w:rsidRDefault="00A346AE" w:rsidP="00A346AE">
      <w:pPr>
        <w:pStyle w:val="normal"/>
        <w:contextualSpacing/>
      </w:pPr>
      <w:r>
        <w:t>Informácie týkajúce sa vied o Zemi.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III ods. 3 – Pôda, v prílohe II ods. 4 – Geológia, v prílohe III ods. 12 – Zóny prírodného rizika.</w:t>
      </w:r>
    </w:p>
    <w:p w:rsidR="00A346AE" w:rsidRDefault="00A346AE" w:rsidP="00A346AE">
      <w:pPr>
        <w:pStyle w:val="ti-grseq-1"/>
        <w:contextualSpacing/>
      </w:pPr>
      <w:r>
        <w:t>2.9.   Zdravie (health)</w:t>
      </w:r>
    </w:p>
    <w:p w:rsidR="00A346AE" w:rsidRDefault="00A346AE" w:rsidP="00A346AE">
      <w:pPr>
        <w:pStyle w:val="normal"/>
        <w:contextualSpacing/>
      </w:pPr>
      <w:r>
        <w:t>Zdravie, zdravotnícke služby, humánna ekológia a bezpečnosť.</w:t>
      </w:r>
    </w:p>
    <w:p w:rsidR="00A346AE" w:rsidRDefault="00A346AE" w:rsidP="00A346AE">
      <w:pPr>
        <w:pStyle w:val="normal"/>
        <w:contextualSpacing/>
      </w:pPr>
      <w:r>
        <w:t>Táto kategória sa vzťahuje na tému priestorových údajov uvedenú v smernici 2007/2/ES: v prílohe III ods. 5 – Ľudské zdravie a bezpečnosť.</w:t>
      </w:r>
    </w:p>
    <w:p w:rsidR="00A346AE" w:rsidRDefault="00A346AE" w:rsidP="00A346AE">
      <w:pPr>
        <w:pStyle w:val="ti-grseq-1"/>
        <w:contextualSpacing/>
      </w:pPr>
      <w:r>
        <w:t>2.10.   Letecké snímkovanie/základné mapy/krajinná pokrývka (imageryBaseMapsEarthCover)</w:t>
      </w:r>
    </w:p>
    <w:p w:rsidR="00A346AE" w:rsidRDefault="00A346AE" w:rsidP="00A346AE">
      <w:pPr>
        <w:pStyle w:val="normal"/>
        <w:contextualSpacing/>
      </w:pPr>
      <w:r>
        <w:t>Základné mapy.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II ods. 3 – Ortometria, v prílohe II ods. 2 – Krajinná pokrývka.</w:t>
      </w:r>
    </w:p>
    <w:p w:rsidR="00A346AE" w:rsidRDefault="00A346AE" w:rsidP="00A346AE">
      <w:pPr>
        <w:pStyle w:val="ti-grseq-1"/>
        <w:contextualSpacing/>
      </w:pPr>
      <w:r>
        <w:t>2.11.   Spravodajská služba/armáda (intelligenceMilitary)</w:t>
      </w:r>
    </w:p>
    <w:p w:rsidR="00A346AE" w:rsidRDefault="00A346AE" w:rsidP="00A346AE">
      <w:pPr>
        <w:pStyle w:val="normal"/>
        <w:contextualSpacing/>
      </w:pPr>
      <w:r>
        <w:t>Vojenské základne, štruktúry, aktivity.</w:t>
      </w:r>
    </w:p>
    <w:p w:rsidR="00A346AE" w:rsidRDefault="00A346AE" w:rsidP="00A346AE">
      <w:pPr>
        <w:pStyle w:val="normal"/>
        <w:contextualSpacing/>
      </w:pPr>
      <w:r>
        <w:t>Táto kategória sa konkrétne nevzťahuje na žiadnu tému priestorových údajov uvedenú v smernici 2007/2/ES.</w:t>
      </w:r>
    </w:p>
    <w:p w:rsidR="00A346AE" w:rsidRDefault="00A346AE" w:rsidP="00A346AE">
      <w:pPr>
        <w:pStyle w:val="ti-grseq-1"/>
        <w:contextualSpacing/>
      </w:pPr>
      <w:r>
        <w:t>2.12.   Vnútrozemské vody (inlandWaters)</w:t>
      </w:r>
    </w:p>
    <w:p w:rsidR="00A346AE" w:rsidRDefault="00A346AE" w:rsidP="00A346AE">
      <w:pPr>
        <w:pStyle w:val="normal"/>
        <w:contextualSpacing/>
      </w:pPr>
      <w:r>
        <w:t>Charakteristiky vnútrozemských vôd, odvodňovacie systémy a ich charakteristiky.</w:t>
      </w:r>
    </w:p>
    <w:p w:rsidR="00A346AE" w:rsidRDefault="00A346AE" w:rsidP="00A346AE">
      <w:pPr>
        <w:pStyle w:val="normal"/>
        <w:contextualSpacing/>
      </w:pPr>
      <w:r>
        <w:t>Táto kategória sa vzťahuje na tému priestorových údajov uvedenú v smernici 2007/2/ES: v prílohe I ods. 8 – Hydrografia.</w:t>
      </w:r>
    </w:p>
    <w:p w:rsidR="00A346AE" w:rsidRDefault="00A346AE" w:rsidP="00A346AE">
      <w:pPr>
        <w:pStyle w:val="ti-grseq-1"/>
        <w:contextualSpacing/>
      </w:pPr>
      <w:r>
        <w:t>2.13.   Poloha (location)</w:t>
      </w:r>
    </w:p>
    <w:p w:rsidR="00A346AE" w:rsidRDefault="00A346AE" w:rsidP="00A346AE">
      <w:pPr>
        <w:pStyle w:val="normal"/>
        <w:contextualSpacing/>
      </w:pPr>
      <w:r>
        <w:t>Informácie a služby týkajúce sa polohy.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 ods. 3 – Zemepisné názvy, v prílohe I ods. 5 – Adresy.</w:t>
      </w:r>
    </w:p>
    <w:p w:rsidR="00A346AE" w:rsidRDefault="00A346AE" w:rsidP="00A346AE">
      <w:pPr>
        <w:pStyle w:val="ti-grseq-1"/>
        <w:contextualSpacing/>
      </w:pPr>
      <w:r>
        <w:lastRenderedPageBreak/>
        <w:t>2.14.   Oceány (oceans)</w:t>
      </w:r>
    </w:p>
    <w:p w:rsidR="00A346AE" w:rsidRDefault="00A346AE" w:rsidP="00A346AE">
      <w:pPr>
        <w:pStyle w:val="normal"/>
        <w:contextualSpacing/>
      </w:pPr>
      <w:r>
        <w:t>Vlastnosti a charakteristika útvarov slanej vody (okrem vnútrozemských vôd).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III ods. 16 – „Morské regióny“, v prílohe III ods. 15 – Oceánografické geografické prvky.</w:t>
      </w:r>
    </w:p>
    <w:p w:rsidR="00A346AE" w:rsidRDefault="00A346AE" w:rsidP="00A346AE">
      <w:pPr>
        <w:pStyle w:val="ti-grseq-1"/>
        <w:contextualSpacing/>
      </w:pPr>
      <w:r>
        <w:t>2.15.   Územné plánovanie/kataster (planningCadastre)</w:t>
      </w:r>
    </w:p>
    <w:p w:rsidR="00A346AE" w:rsidRDefault="00A346AE" w:rsidP="00A346AE">
      <w:pPr>
        <w:pStyle w:val="normal"/>
        <w:contextualSpacing/>
      </w:pPr>
      <w:r>
        <w:t>Informácie používané na prijatie vhodných opatrení týkajúcich sa budúceho využívania pôdy.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 ods. 6 – Katastrálne parcely, v prílohe III ods. 4 – Využitie územia, v prílohe III ods. 11 – Spravované/obmedzené/regulované zóny a jednotky podávajúce správy.</w:t>
      </w:r>
    </w:p>
    <w:p w:rsidR="00A346AE" w:rsidRDefault="00A346AE" w:rsidP="00A346AE">
      <w:pPr>
        <w:pStyle w:val="ti-grseq-1"/>
        <w:contextualSpacing/>
      </w:pPr>
      <w:r>
        <w:t>2.16.   Spoločnosť (society)</w:t>
      </w:r>
    </w:p>
    <w:p w:rsidR="00A346AE" w:rsidRDefault="00A346AE" w:rsidP="00A346AE">
      <w:pPr>
        <w:pStyle w:val="normal"/>
        <w:contextualSpacing/>
      </w:pPr>
      <w:r>
        <w:t>Charakteristika spoločnosti a kultúr.</w:t>
      </w:r>
    </w:p>
    <w:p w:rsidR="00A346AE" w:rsidRDefault="00A346AE" w:rsidP="00A346AE">
      <w:pPr>
        <w:pStyle w:val="normal"/>
        <w:contextualSpacing/>
      </w:pPr>
      <w:r>
        <w:t>Táto kategória sa vzťahuje na tému priestorových údajov uvedenú v smernici 2007/2/ES: v prílohe III ods. 10 – Rozmiestnenie obyvateľstva – demografia.</w:t>
      </w:r>
    </w:p>
    <w:p w:rsidR="00A346AE" w:rsidRDefault="00A346AE" w:rsidP="00A346AE">
      <w:pPr>
        <w:pStyle w:val="ti-grseq-1"/>
        <w:contextualSpacing/>
      </w:pPr>
      <w:r>
        <w:t>2.17.   Štruktúra (structure)</w:t>
      </w:r>
    </w:p>
    <w:p w:rsidR="00A346AE" w:rsidRDefault="00A346AE" w:rsidP="00A346AE">
      <w:pPr>
        <w:pStyle w:val="normal"/>
        <w:contextualSpacing/>
      </w:pPr>
      <w:r>
        <w:t>Výstavba uskutočňovaná ľuďmi.</w:t>
      </w:r>
    </w:p>
    <w:p w:rsidR="00A346AE" w:rsidRDefault="00A346AE" w:rsidP="00A346AE">
      <w:pPr>
        <w:pStyle w:val="normal"/>
        <w:contextualSpacing/>
      </w:pPr>
      <w:r>
        <w:t>Táto kategória sa vzťahuje na tieto témy priestorových údajov uvedené v smernici 2007/2/ES: v prílohe III ods. 2 – Stavby, v prílohe III ods. 8 – Výrobné a priemyselné zariadenia, v prílohe III ods. 7 – Zariadenia na monitorovanie životného prostredia.</w:t>
      </w:r>
    </w:p>
    <w:p w:rsidR="00A346AE" w:rsidRDefault="00A346AE" w:rsidP="00A346AE">
      <w:pPr>
        <w:pStyle w:val="Odstavecseseznamem"/>
      </w:pPr>
    </w:p>
    <w:sectPr w:rsidR="00A34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E2154"/>
    <w:multiLevelType w:val="hybridMultilevel"/>
    <w:tmpl w:val="9BA6DB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AE"/>
    <w:rsid w:val="000F5206"/>
    <w:rsid w:val="00953D4F"/>
    <w:rsid w:val="009B2823"/>
    <w:rsid w:val="00A346AE"/>
    <w:rsid w:val="00B57D69"/>
    <w:rsid w:val="00DE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D31BF-1FE7-434E-B6F3-161B1A81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46AE"/>
    <w:pPr>
      <w:ind w:left="720"/>
      <w:contextualSpacing/>
    </w:pPr>
  </w:style>
  <w:style w:type="paragraph" w:customStyle="1" w:styleId="ti-grseq-1">
    <w:name w:val="ti-grseq-1"/>
    <w:basedOn w:val="Normln"/>
    <w:rsid w:val="00A34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">
    <w:name w:val="normal"/>
    <w:basedOn w:val="Normln"/>
    <w:rsid w:val="00A34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2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705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5</cp:revision>
  <dcterms:created xsi:type="dcterms:W3CDTF">2015-11-16T13:22:00Z</dcterms:created>
  <dcterms:modified xsi:type="dcterms:W3CDTF">2015-11-16T13:46:00Z</dcterms:modified>
</cp:coreProperties>
</file>