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F" w:rsidRPr="0030672B" w:rsidRDefault="007A5F49" w:rsidP="004A59FE">
      <w:pPr>
        <w:jc w:val="center"/>
        <w:rPr>
          <w:b/>
          <w:sz w:val="28"/>
          <w:szCs w:val="28"/>
          <w:u w:val="single"/>
        </w:rPr>
      </w:pPr>
      <w:r w:rsidRPr="0030672B">
        <w:rPr>
          <w:b/>
          <w:sz w:val="28"/>
          <w:szCs w:val="28"/>
          <w:u w:val="single"/>
        </w:rPr>
        <w:t>Laboratorní cvičení</w:t>
      </w:r>
      <w:r w:rsidR="004A59FE" w:rsidRPr="0030672B">
        <w:rPr>
          <w:b/>
          <w:sz w:val="28"/>
          <w:szCs w:val="28"/>
          <w:u w:val="single"/>
        </w:rPr>
        <w:t xml:space="preserve"> </w:t>
      </w:r>
      <w:r w:rsidR="007F3AC5" w:rsidRPr="007F3AC5">
        <w:rPr>
          <w:b/>
          <w:sz w:val="28"/>
          <w:szCs w:val="28"/>
          <w:u w:val="single"/>
        </w:rPr>
        <w:t>6</w:t>
      </w:r>
      <w:r w:rsidR="004F1FCA">
        <w:rPr>
          <w:b/>
          <w:sz w:val="28"/>
          <w:szCs w:val="28"/>
          <w:u w:val="single"/>
        </w:rPr>
        <w:t>.12</w:t>
      </w:r>
      <w:r w:rsidR="004A59FE" w:rsidRPr="0030672B">
        <w:rPr>
          <w:b/>
          <w:sz w:val="28"/>
          <w:szCs w:val="28"/>
          <w:u w:val="single"/>
        </w:rPr>
        <w:t>.</w:t>
      </w:r>
      <w:r w:rsidR="004F1FCA">
        <w:rPr>
          <w:b/>
          <w:sz w:val="28"/>
          <w:szCs w:val="28"/>
          <w:u w:val="single"/>
        </w:rPr>
        <w:t>2015</w:t>
      </w:r>
      <w:r w:rsidR="004A59FE" w:rsidRPr="0030672B">
        <w:rPr>
          <w:b/>
          <w:sz w:val="28"/>
          <w:szCs w:val="28"/>
          <w:u w:val="single"/>
        </w:rPr>
        <w:t xml:space="preserve"> – Moderní metody v </w:t>
      </w:r>
      <w:proofErr w:type="spellStart"/>
      <w:r w:rsidR="004A59FE" w:rsidRPr="0030672B">
        <w:rPr>
          <w:b/>
          <w:sz w:val="28"/>
          <w:szCs w:val="28"/>
          <w:u w:val="single"/>
        </w:rPr>
        <w:t>ekotoxikologii</w:t>
      </w:r>
      <w:proofErr w:type="spellEnd"/>
      <w:r w:rsidR="004A59FE" w:rsidRPr="0030672B">
        <w:rPr>
          <w:b/>
          <w:sz w:val="28"/>
          <w:szCs w:val="28"/>
          <w:u w:val="single"/>
        </w:rPr>
        <w:t xml:space="preserve"> (</w:t>
      </w:r>
      <w:r w:rsidR="00773E6E" w:rsidRPr="0030672B">
        <w:rPr>
          <w:b/>
          <w:sz w:val="28"/>
          <w:szCs w:val="28"/>
          <w:u w:val="single"/>
        </w:rPr>
        <w:t>Metabolity a jejich stanovení</w:t>
      </w:r>
      <w:r w:rsidR="004A59FE" w:rsidRPr="0030672B">
        <w:rPr>
          <w:b/>
          <w:sz w:val="28"/>
          <w:szCs w:val="28"/>
          <w:u w:val="single"/>
        </w:rPr>
        <w:t>)</w:t>
      </w:r>
    </w:p>
    <w:p w:rsidR="007A5F49" w:rsidRPr="004A59FE" w:rsidRDefault="007A5F49" w:rsidP="007A5F49">
      <w:pPr>
        <w:rPr>
          <w:sz w:val="20"/>
          <w:szCs w:val="20"/>
        </w:rPr>
      </w:pPr>
    </w:p>
    <w:p w:rsidR="007A5F49" w:rsidRDefault="007A5F49" w:rsidP="00773E6E">
      <w:pPr>
        <w:pStyle w:val="Odstavecseseznamem"/>
        <w:ind w:left="1080"/>
        <w:rPr>
          <w:b/>
          <w:sz w:val="24"/>
          <w:szCs w:val="24"/>
          <w:u w:val="single"/>
        </w:rPr>
      </w:pPr>
      <w:r w:rsidRPr="0017178A">
        <w:rPr>
          <w:b/>
          <w:sz w:val="24"/>
          <w:szCs w:val="24"/>
          <w:u w:val="single"/>
        </w:rPr>
        <w:t xml:space="preserve">Stanovení </w:t>
      </w:r>
      <w:proofErr w:type="spellStart"/>
      <w:r w:rsidR="00ED188E">
        <w:rPr>
          <w:b/>
          <w:sz w:val="24"/>
          <w:szCs w:val="24"/>
          <w:u w:val="single"/>
        </w:rPr>
        <w:t>malondialdehydu</w:t>
      </w:r>
      <w:proofErr w:type="spellEnd"/>
      <w:r w:rsidR="00ED188E">
        <w:rPr>
          <w:b/>
          <w:sz w:val="24"/>
          <w:szCs w:val="24"/>
          <w:u w:val="single"/>
        </w:rPr>
        <w:t xml:space="preserve"> (</w:t>
      </w:r>
      <w:proofErr w:type="spellStart"/>
      <w:r w:rsidR="00ED188E">
        <w:rPr>
          <w:b/>
          <w:sz w:val="24"/>
          <w:szCs w:val="24"/>
          <w:u w:val="single"/>
        </w:rPr>
        <w:t>MDA</w:t>
      </w:r>
      <w:proofErr w:type="spellEnd"/>
      <w:r w:rsidR="00ED188E">
        <w:rPr>
          <w:b/>
          <w:sz w:val="24"/>
          <w:szCs w:val="24"/>
          <w:u w:val="single"/>
        </w:rPr>
        <w:t xml:space="preserve">) </w:t>
      </w:r>
      <w:r w:rsidR="004F1FCA">
        <w:rPr>
          <w:b/>
          <w:sz w:val="24"/>
          <w:szCs w:val="24"/>
          <w:u w:val="single"/>
        </w:rPr>
        <w:t>-</w:t>
      </w:r>
      <w:r w:rsidR="00237FE2">
        <w:rPr>
          <w:b/>
          <w:sz w:val="24"/>
          <w:szCs w:val="24"/>
          <w:u w:val="single"/>
        </w:rPr>
        <w:t xml:space="preserve"> </w:t>
      </w:r>
      <w:r w:rsidR="007F3AC5">
        <w:rPr>
          <w:b/>
          <w:sz w:val="24"/>
          <w:szCs w:val="24"/>
          <w:u w:val="single"/>
        </w:rPr>
        <w:t xml:space="preserve">koncového </w:t>
      </w:r>
      <w:r w:rsidR="00237FE2">
        <w:rPr>
          <w:b/>
          <w:sz w:val="24"/>
          <w:szCs w:val="24"/>
          <w:u w:val="single"/>
        </w:rPr>
        <w:t xml:space="preserve">produktu </w:t>
      </w:r>
      <w:proofErr w:type="spellStart"/>
      <w:r w:rsidR="00237FE2">
        <w:rPr>
          <w:b/>
          <w:sz w:val="24"/>
          <w:szCs w:val="24"/>
          <w:u w:val="single"/>
        </w:rPr>
        <w:t>lipidní</w:t>
      </w:r>
      <w:proofErr w:type="spellEnd"/>
      <w:r w:rsidR="00237FE2">
        <w:rPr>
          <w:b/>
          <w:sz w:val="24"/>
          <w:szCs w:val="24"/>
          <w:u w:val="single"/>
        </w:rPr>
        <w:t xml:space="preserve"> </w:t>
      </w:r>
      <w:proofErr w:type="spellStart"/>
      <w:r w:rsidR="00237FE2">
        <w:rPr>
          <w:b/>
          <w:sz w:val="24"/>
          <w:szCs w:val="24"/>
          <w:u w:val="single"/>
        </w:rPr>
        <w:t>peroxidace</w:t>
      </w:r>
      <w:proofErr w:type="spellEnd"/>
      <w:r w:rsidR="00237FE2">
        <w:rPr>
          <w:b/>
          <w:sz w:val="24"/>
          <w:szCs w:val="24"/>
          <w:u w:val="single"/>
        </w:rPr>
        <w:t xml:space="preserve"> (</w:t>
      </w:r>
      <w:proofErr w:type="spellStart"/>
      <w:r w:rsidR="00237FE2">
        <w:rPr>
          <w:b/>
          <w:sz w:val="24"/>
          <w:szCs w:val="24"/>
          <w:u w:val="single"/>
        </w:rPr>
        <w:t>LPO</w:t>
      </w:r>
      <w:proofErr w:type="spellEnd"/>
      <w:r w:rsidR="00237FE2">
        <w:rPr>
          <w:b/>
          <w:sz w:val="24"/>
          <w:szCs w:val="24"/>
          <w:u w:val="single"/>
        </w:rPr>
        <w:t xml:space="preserve">) </w:t>
      </w:r>
      <w:r w:rsidR="00ED188E">
        <w:rPr>
          <w:b/>
          <w:sz w:val="24"/>
          <w:szCs w:val="24"/>
          <w:u w:val="single"/>
        </w:rPr>
        <w:t xml:space="preserve">metodou </w:t>
      </w:r>
      <w:proofErr w:type="spellStart"/>
      <w:r w:rsidR="00ED188E">
        <w:rPr>
          <w:b/>
          <w:sz w:val="24"/>
          <w:szCs w:val="24"/>
          <w:u w:val="single"/>
        </w:rPr>
        <w:t>HPLC</w:t>
      </w:r>
      <w:proofErr w:type="spellEnd"/>
      <w:r w:rsidR="00ED188E">
        <w:rPr>
          <w:b/>
          <w:sz w:val="24"/>
          <w:szCs w:val="24"/>
          <w:u w:val="single"/>
        </w:rPr>
        <w:t>/</w:t>
      </w:r>
      <w:proofErr w:type="spellStart"/>
      <w:r w:rsidR="00ED188E">
        <w:rPr>
          <w:b/>
          <w:sz w:val="24"/>
          <w:szCs w:val="24"/>
          <w:u w:val="single"/>
        </w:rPr>
        <w:t>DAD</w:t>
      </w:r>
      <w:proofErr w:type="spellEnd"/>
      <w:r w:rsidR="0090584E">
        <w:rPr>
          <w:b/>
          <w:sz w:val="24"/>
          <w:szCs w:val="24"/>
          <w:u w:val="single"/>
        </w:rPr>
        <w:t xml:space="preserve"> v živočišných a rostlinných </w:t>
      </w:r>
      <w:r w:rsidR="00B32CF3">
        <w:rPr>
          <w:b/>
          <w:sz w:val="24"/>
          <w:szCs w:val="24"/>
          <w:u w:val="single"/>
        </w:rPr>
        <w:t>tkáních</w:t>
      </w:r>
      <w:r w:rsidR="00157FE2">
        <w:rPr>
          <w:b/>
          <w:sz w:val="24"/>
          <w:szCs w:val="24"/>
          <w:u w:val="single"/>
        </w:rPr>
        <w:t xml:space="preserve"> jako příklad "</w:t>
      </w:r>
      <w:r w:rsidR="00157FE2" w:rsidRPr="00157FE2">
        <w:rPr>
          <w:b/>
          <w:sz w:val="24"/>
          <w:szCs w:val="24"/>
          <w:u w:val="single"/>
        </w:rPr>
        <w:t xml:space="preserve">metabolite </w:t>
      </w:r>
      <w:proofErr w:type="spellStart"/>
      <w:r w:rsidR="00157FE2" w:rsidRPr="00157FE2">
        <w:rPr>
          <w:b/>
          <w:sz w:val="24"/>
          <w:szCs w:val="24"/>
          <w:u w:val="single"/>
        </w:rPr>
        <w:t>target</w:t>
      </w:r>
      <w:proofErr w:type="spellEnd"/>
      <w:r w:rsidR="00157FE2" w:rsidRPr="00157FE2">
        <w:rPr>
          <w:b/>
          <w:sz w:val="24"/>
          <w:szCs w:val="24"/>
          <w:u w:val="single"/>
        </w:rPr>
        <w:t xml:space="preserve"> </w:t>
      </w:r>
      <w:proofErr w:type="spellStart"/>
      <w:r w:rsidR="00157FE2" w:rsidRPr="00157FE2">
        <w:rPr>
          <w:b/>
          <w:sz w:val="24"/>
          <w:szCs w:val="24"/>
          <w:u w:val="single"/>
        </w:rPr>
        <w:t>analysis</w:t>
      </w:r>
      <w:proofErr w:type="spellEnd"/>
      <w:r w:rsidR="00157FE2">
        <w:rPr>
          <w:b/>
          <w:sz w:val="24"/>
          <w:szCs w:val="24"/>
          <w:u w:val="single"/>
        </w:rPr>
        <w:t>"</w:t>
      </w:r>
    </w:p>
    <w:p w:rsidR="0017178A" w:rsidRPr="0017178A" w:rsidRDefault="0017178A" w:rsidP="0017178A">
      <w:pPr>
        <w:pStyle w:val="Odstavecseseznamem"/>
        <w:ind w:left="1080"/>
        <w:rPr>
          <w:b/>
          <w:sz w:val="24"/>
          <w:szCs w:val="24"/>
          <w:u w:val="single"/>
        </w:rPr>
      </w:pPr>
    </w:p>
    <w:p w:rsidR="00941683" w:rsidRPr="004A59FE" w:rsidRDefault="00D02DAE" w:rsidP="006B4A43">
      <w:pPr>
        <w:pStyle w:val="Odstavecseseznamem"/>
        <w:ind w:left="0"/>
        <w:jc w:val="both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Princip: </w:t>
      </w:r>
    </w:p>
    <w:p w:rsidR="00545068" w:rsidRDefault="00ED188E" w:rsidP="00545068">
      <w:pPr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Malondialdehyd</w:t>
      </w:r>
      <w:proofErr w:type="spellEnd"/>
      <w:r>
        <w:rPr>
          <w:sz w:val="20"/>
          <w:szCs w:val="20"/>
        </w:rPr>
        <w:t xml:space="preserve"> v</w:t>
      </w:r>
      <w:r w:rsidRPr="00ED188E">
        <w:rPr>
          <w:sz w:val="20"/>
          <w:szCs w:val="20"/>
        </w:rPr>
        <w:t>zniká jako sekundární produkt oxidace polynenasycených mastných kyselin</w:t>
      </w:r>
      <w:r w:rsidR="00C0525E">
        <w:rPr>
          <w:sz w:val="20"/>
          <w:szCs w:val="20"/>
        </w:rPr>
        <w:t>, je schopen</w:t>
      </w:r>
      <w:r w:rsidR="00C0525E" w:rsidRPr="00ED188E">
        <w:rPr>
          <w:sz w:val="20"/>
          <w:szCs w:val="20"/>
        </w:rPr>
        <w:t xml:space="preserve"> </w:t>
      </w:r>
      <w:r w:rsidR="00444658">
        <w:rPr>
          <w:sz w:val="20"/>
          <w:szCs w:val="20"/>
        </w:rPr>
        <w:t xml:space="preserve">například </w:t>
      </w:r>
      <w:r w:rsidR="00C0525E" w:rsidRPr="00ED188E">
        <w:rPr>
          <w:sz w:val="20"/>
          <w:szCs w:val="20"/>
        </w:rPr>
        <w:t>reagovat s bázemi nukleových kyselin</w:t>
      </w:r>
      <w:r w:rsidRPr="00ED188E">
        <w:rPr>
          <w:sz w:val="20"/>
          <w:szCs w:val="20"/>
        </w:rPr>
        <w:t xml:space="preserve"> a představuje </w:t>
      </w:r>
      <w:r w:rsidR="00C0525E">
        <w:rPr>
          <w:sz w:val="20"/>
          <w:szCs w:val="20"/>
        </w:rPr>
        <w:t xml:space="preserve">tak </w:t>
      </w:r>
      <w:r w:rsidRPr="00ED188E">
        <w:rPr>
          <w:sz w:val="20"/>
          <w:szCs w:val="20"/>
        </w:rPr>
        <w:t>jeden z </w:t>
      </w:r>
      <w:proofErr w:type="spellStart"/>
      <w:r w:rsidRPr="00ED188E">
        <w:rPr>
          <w:sz w:val="20"/>
          <w:szCs w:val="20"/>
        </w:rPr>
        <w:t>nejmutagen</w:t>
      </w:r>
      <w:r w:rsidR="007617CD">
        <w:rPr>
          <w:sz w:val="20"/>
          <w:szCs w:val="20"/>
        </w:rPr>
        <w:t>n</w:t>
      </w:r>
      <w:r w:rsidRPr="00ED188E">
        <w:rPr>
          <w:sz w:val="20"/>
          <w:szCs w:val="20"/>
        </w:rPr>
        <w:t>ějších</w:t>
      </w:r>
      <w:proofErr w:type="spellEnd"/>
      <w:r w:rsidRPr="00ED188E">
        <w:rPr>
          <w:sz w:val="20"/>
          <w:szCs w:val="20"/>
        </w:rPr>
        <w:t xml:space="preserve"> produktů </w:t>
      </w:r>
      <w:proofErr w:type="spellStart"/>
      <w:r w:rsidR="00157FE2">
        <w:rPr>
          <w:sz w:val="20"/>
          <w:szCs w:val="20"/>
        </w:rPr>
        <w:t>lipidní</w:t>
      </w:r>
      <w:proofErr w:type="spellEnd"/>
      <w:r w:rsidR="00157FE2">
        <w:rPr>
          <w:sz w:val="20"/>
          <w:szCs w:val="20"/>
        </w:rPr>
        <w:t xml:space="preserve"> </w:t>
      </w:r>
      <w:proofErr w:type="spellStart"/>
      <w:r w:rsidR="00157FE2">
        <w:rPr>
          <w:sz w:val="20"/>
          <w:szCs w:val="20"/>
        </w:rPr>
        <w:t>peroxidace</w:t>
      </w:r>
      <w:proofErr w:type="spellEnd"/>
      <w:r w:rsidR="00C0525E">
        <w:rPr>
          <w:sz w:val="20"/>
          <w:szCs w:val="20"/>
        </w:rPr>
        <w:t xml:space="preserve">. </w:t>
      </w:r>
      <w:proofErr w:type="spellStart"/>
      <w:r w:rsidRPr="00ED188E">
        <w:rPr>
          <w:sz w:val="20"/>
          <w:szCs w:val="20"/>
        </w:rPr>
        <w:t>MDA</w:t>
      </w:r>
      <w:proofErr w:type="spellEnd"/>
      <w:r w:rsidRPr="00ED188E">
        <w:rPr>
          <w:sz w:val="20"/>
          <w:szCs w:val="20"/>
        </w:rPr>
        <w:t xml:space="preserve"> je využíván jako </w:t>
      </w:r>
      <w:proofErr w:type="spellStart"/>
      <w:r w:rsidRPr="00ED188E">
        <w:rPr>
          <w:sz w:val="20"/>
          <w:szCs w:val="20"/>
        </w:rPr>
        <w:t>biomarker</w:t>
      </w:r>
      <w:proofErr w:type="spellEnd"/>
      <w:r w:rsidRPr="00ED188E">
        <w:rPr>
          <w:sz w:val="20"/>
          <w:szCs w:val="20"/>
        </w:rPr>
        <w:t xml:space="preserve"> </w:t>
      </w:r>
      <w:proofErr w:type="spellStart"/>
      <w:r w:rsidRPr="00ED188E">
        <w:rPr>
          <w:sz w:val="20"/>
          <w:szCs w:val="20"/>
        </w:rPr>
        <w:t>peroxidace</w:t>
      </w:r>
      <w:proofErr w:type="spellEnd"/>
      <w:r w:rsidRPr="00ED188E">
        <w:rPr>
          <w:sz w:val="20"/>
          <w:szCs w:val="20"/>
        </w:rPr>
        <w:t xml:space="preserve"> lipidů</w:t>
      </w:r>
      <w:r w:rsidR="00BD7EFB">
        <w:rPr>
          <w:sz w:val="20"/>
          <w:szCs w:val="20"/>
        </w:rPr>
        <w:t xml:space="preserve"> (metabolite </w:t>
      </w:r>
      <w:proofErr w:type="spellStart"/>
      <w:r w:rsidR="00BD7EFB">
        <w:rPr>
          <w:sz w:val="20"/>
          <w:szCs w:val="20"/>
        </w:rPr>
        <w:t>target</w:t>
      </w:r>
      <w:proofErr w:type="spellEnd"/>
      <w:r w:rsidR="00BD7EFB">
        <w:rPr>
          <w:sz w:val="20"/>
          <w:szCs w:val="20"/>
        </w:rPr>
        <w:t xml:space="preserve"> </w:t>
      </w:r>
      <w:proofErr w:type="spellStart"/>
      <w:r w:rsidR="00BD7EFB">
        <w:rPr>
          <w:sz w:val="20"/>
          <w:szCs w:val="20"/>
        </w:rPr>
        <w:t>analysis</w:t>
      </w:r>
      <w:proofErr w:type="spellEnd"/>
      <w:r w:rsidR="00BD7EFB">
        <w:rPr>
          <w:sz w:val="20"/>
          <w:szCs w:val="20"/>
        </w:rPr>
        <w:t>)</w:t>
      </w:r>
      <w:r w:rsidRPr="00ED188E">
        <w:rPr>
          <w:sz w:val="20"/>
          <w:szCs w:val="20"/>
        </w:rPr>
        <w:t xml:space="preserve">, zejména díky jednoduché reakci s kyselinou </w:t>
      </w:r>
      <w:proofErr w:type="spellStart"/>
      <w:r w:rsidRPr="00ED188E">
        <w:rPr>
          <w:sz w:val="20"/>
          <w:szCs w:val="20"/>
        </w:rPr>
        <w:t>thiobarbiturovou</w:t>
      </w:r>
      <w:proofErr w:type="spellEnd"/>
      <w:r w:rsidRPr="00ED188E">
        <w:rPr>
          <w:sz w:val="20"/>
          <w:szCs w:val="20"/>
        </w:rPr>
        <w:t xml:space="preserve"> (</w:t>
      </w:r>
      <w:proofErr w:type="spellStart"/>
      <w:r w:rsidRPr="00ED188E">
        <w:rPr>
          <w:sz w:val="20"/>
          <w:szCs w:val="20"/>
        </w:rPr>
        <w:t>TBARS</w:t>
      </w:r>
      <w:proofErr w:type="spellEnd"/>
      <w:r w:rsidRPr="00ED188E">
        <w:rPr>
          <w:sz w:val="20"/>
          <w:szCs w:val="20"/>
        </w:rPr>
        <w:t xml:space="preserve"> test). V kyselém prostředí </w:t>
      </w:r>
      <w:r w:rsidR="00157FE2">
        <w:rPr>
          <w:sz w:val="20"/>
          <w:szCs w:val="20"/>
        </w:rPr>
        <w:t xml:space="preserve">a </w:t>
      </w:r>
      <w:r w:rsidR="00860047">
        <w:rPr>
          <w:sz w:val="20"/>
          <w:szCs w:val="20"/>
        </w:rPr>
        <w:t xml:space="preserve">v přítomnosti antioxidačního činidla </w:t>
      </w:r>
      <w:r w:rsidRPr="00ED188E">
        <w:rPr>
          <w:sz w:val="20"/>
          <w:szCs w:val="20"/>
        </w:rPr>
        <w:t xml:space="preserve">vzniká </w:t>
      </w:r>
      <w:r w:rsidR="00C0525E">
        <w:rPr>
          <w:sz w:val="20"/>
          <w:szCs w:val="20"/>
        </w:rPr>
        <w:t>barevný</w:t>
      </w:r>
      <w:r w:rsidRPr="00ED188E">
        <w:rPr>
          <w:sz w:val="20"/>
          <w:szCs w:val="20"/>
        </w:rPr>
        <w:t xml:space="preserve"> </w:t>
      </w:r>
      <w:r w:rsidR="00C0525E">
        <w:rPr>
          <w:sz w:val="20"/>
          <w:szCs w:val="20"/>
        </w:rPr>
        <w:t>komplex</w:t>
      </w:r>
      <w:r w:rsidRPr="00ED188E">
        <w:rPr>
          <w:sz w:val="20"/>
          <w:szCs w:val="20"/>
        </w:rPr>
        <w:t>, kt</w:t>
      </w:r>
      <w:r w:rsidR="00157FE2">
        <w:rPr>
          <w:sz w:val="20"/>
          <w:szCs w:val="20"/>
        </w:rPr>
        <w:t xml:space="preserve">erý se měří spektrofotometricky. </w:t>
      </w:r>
      <w:r w:rsidRPr="00ED188E">
        <w:rPr>
          <w:sz w:val="20"/>
          <w:szCs w:val="20"/>
        </w:rPr>
        <w:t xml:space="preserve">Výsledkem je stanovení barevného </w:t>
      </w:r>
      <w:proofErr w:type="spellStart"/>
      <w:r w:rsidRPr="00ED188E">
        <w:rPr>
          <w:sz w:val="20"/>
          <w:szCs w:val="20"/>
        </w:rPr>
        <w:t>TBARS</w:t>
      </w:r>
      <w:proofErr w:type="spellEnd"/>
      <w:r w:rsidRPr="00ED188E">
        <w:rPr>
          <w:sz w:val="20"/>
          <w:szCs w:val="20"/>
        </w:rPr>
        <w:t xml:space="preserve"> produktu (</w:t>
      </w:r>
      <w:proofErr w:type="spellStart"/>
      <w:r w:rsidRPr="00ED188E">
        <w:rPr>
          <w:sz w:val="20"/>
          <w:szCs w:val="20"/>
        </w:rPr>
        <w:t>thiobarbituric</w:t>
      </w:r>
      <w:proofErr w:type="spellEnd"/>
      <w:r w:rsidRPr="00ED188E">
        <w:rPr>
          <w:sz w:val="20"/>
          <w:szCs w:val="20"/>
        </w:rPr>
        <w:t xml:space="preserve"> </w:t>
      </w:r>
      <w:proofErr w:type="spellStart"/>
      <w:r w:rsidRPr="00ED188E">
        <w:rPr>
          <w:sz w:val="20"/>
          <w:szCs w:val="20"/>
        </w:rPr>
        <w:t>acid</w:t>
      </w:r>
      <w:proofErr w:type="spellEnd"/>
      <w:r w:rsidRPr="00ED188E">
        <w:rPr>
          <w:sz w:val="20"/>
          <w:szCs w:val="20"/>
        </w:rPr>
        <w:t>-</w:t>
      </w:r>
      <w:proofErr w:type="spellStart"/>
      <w:r w:rsidRPr="00ED188E">
        <w:rPr>
          <w:sz w:val="20"/>
          <w:szCs w:val="20"/>
        </w:rPr>
        <w:t>reactive</w:t>
      </w:r>
      <w:proofErr w:type="spellEnd"/>
      <w:r w:rsidRPr="00ED188E">
        <w:rPr>
          <w:sz w:val="20"/>
          <w:szCs w:val="20"/>
        </w:rPr>
        <w:t xml:space="preserve"> </w:t>
      </w:r>
      <w:proofErr w:type="spellStart"/>
      <w:r w:rsidRPr="00ED188E">
        <w:rPr>
          <w:sz w:val="20"/>
          <w:szCs w:val="20"/>
        </w:rPr>
        <w:t>substances</w:t>
      </w:r>
      <w:proofErr w:type="spellEnd"/>
      <w:r w:rsidR="00C0525E">
        <w:rPr>
          <w:sz w:val="20"/>
          <w:szCs w:val="20"/>
        </w:rPr>
        <w:t>=</w:t>
      </w:r>
      <w:r w:rsidR="00157FE2">
        <w:rPr>
          <w:sz w:val="20"/>
          <w:szCs w:val="20"/>
        </w:rPr>
        <w:t xml:space="preserve">produkt </w:t>
      </w:r>
      <w:r w:rsidR="00C0525E" w:rsidRPr="00ED188E">
        <w:rPr>
          <w:sz w:val="20"/>
          <w:szCs w:val="20"/>
        </w:rPr>
        <w:t>lát</w:t>
      </w:r>
      <w:r w:rsidR="00157FE2">
        <w:rPr>
          <w:sz w:val="20"/>
          <w:szCs w:val="20"/>
        </w:rPr>
        <w:t>ek</w:t>
      </w:r>
      <w:r w:rsidR="00C0525E" w:rsidRPr="00ED188E">
        <w:rPr>
          <w:sz w:val="20"/>
          <w:szCs w:val="20"/>
        </w:rPr>
        <w:t xml:space="preserve"> reaktivní</w:t>
      </w:r>
      <w:r w:rsidR="00157FE2">
        <w:rPr>
          <w:sz w:val="20"/>
          <w:szCs w:val="20"/>
        </w:rPr>
        <w:t>ch</w:t>
      </w:r>
      <w:r w:rsidR="00C0525E" w:rsidRPr="00ED188E">
        <w:rPr>
          <w:sz w:val="20"/>
          <w:szCs w:val="20"/>
        </w:rPr>
        <w:t xml:space="preserve"> s kyselinou </w:t>
      </w:r>
      <w:proofErr w:type="spellStart"/>
      <w:r w:rsidR="00C0525E" w:rsidRPr="00ED188E">
        <w:rPr>
          <w:sz w:val="20"/>
          <w:szCs w:val="20"/>
        </w:rPr>
        <w:t>thiobarbiturovou</w:t>
      </w:r>
      <w:proofErr w:type="spellEnd"/>
      <w:r w:rsidRPr="00ED188E">
        <w:rPr>
          <w:sz w:val="20"/>
          <w:szCs w:val="20"/>
        </w:rPr>
        <w:t xml:space="preserve">). </w:t>
      </w:r>
      <w:proofErr w:type="spellStart"/>
      <w:r w:rsidRPr="00ED188E">
        <w:rPr>
          <w:sz w:val="20"/>
          <w:szCs w:val="20"/>
        </w:rPr>
        <w:t>Specifitu</w:t>
      </w:r>
      <w:proofErr w:type="spellEnd"/>
      <w:r w:rsidRPr="00ED188E">
        <w:rPr>
          <w:sz w:val="20"/>
          <w:szCs w:val="20"/>
        </w:rPr>
        <w:t xml:space="preserve"> metody lze zvýšit </w:t>
      </w:r>
      <w:r w:rsidR="00C0525E">
        <w:rPr>
          <w:sz w:val="20"/>
          <w:szCs w:val="20"/>
        </w:rPr>
        <w:t xml:space="preserve">extrakcí </w:t>
      </w:r>
      <w:proofErr w:type="spellStart"/>
      <w:r w:rsidR="00C0525E">
        <w:rPr>
          <w:sz w:val="20"/>
          <w:szCs w:val="20"/>
        </w:rPr>
        <w:t>TBARS</w:t>
      </w:r>
      <w:proofErr w:type="spellEnd"/>
      <w:r w:rsidR="00157FE2">
        <w:rPr>
          <w:sz w:val="20"/>
          <w:szCs w:val="20"/>
        </w:rPr>
        <w:t xml:space="preserve"> produktu</w:t>
      </w:r>
      <w:r w:rsidR="00C0525E">
        <w:rPr>
          <w:sz w:val="20"/>
          <w:szCs w:val="20"/>
        </w:rPr>
        <w:t xml:space="preserve"> </w:t>
      </w:r>
      <w:r w:rsidR="00157FE2">
        <w:rPr>
          <w:sz w:val="20"/>
          <w:szCs w:val="20"/>
        </w:rPr>
        <w:t>do</w:t>
      </w:r>
      <w:r w:rsidR="00C0525E">
        <w:rPr>
          <w:sz w:val="20"/>
          <w:szCs w:val="20"/>
        </w:rPr>
        <w:t xml:space="preserve"> butanolu a </w:t>
      </w:r>
      <w:r w:rsidR="00157FE2">
        <w:rPr>
          <w:sz w:val="20"/>
          <w:szCs w:val="20"/>
        </w:rPr>
        <w:t>dále separací</w:t>
      </w:r>
      <w:r w:rsidRPr="00ED188E">
        <w:rPr>
          <w:sz w:val="20"/>
          <w:szCs w:val="20"/>
        </w:rPr>
        <w:t xml:space="preserve"> </w:t>
      </w:r>
      <w:proofErr w:type="spellStart"/>
      <w:r w:rsidRPr="00ED188E">
        <w:rPr>
          <w:sz w:val="20"/>
          <w:szCs w:val="20"/>
        </w:rPr>
        <w:t>TBA</w:t>
      </w:r>
      <w:r w:rsidR="00C0525E">
        <w:rPr>
          <w:sz w:val="20"/>
          <w:szCs w:val="20"/>
        </w:rPr>
        <w:t>RS</w:t>
      </w:r>
      <w:proofErr w:type="spellEnd"/>
      <w:r w:rsidRPr="00ED188E">
        <w:rPr>
          <w:sz w:val="20"/>
          <w:szCs w:val="20"/>
        </w:rPr>
        <w:t xml:space="preserve"> </w:t>
      </w:r>
      <w:proofErr w:type="spellStart"/>
      <w:r w:rsidRPr="00ED188E">
        <w:rPr>
          <w:sz w:val="20"/>
          <w:szCs w:val="20"/>
        </w:rPr>
        <w:t>konjugátu</w:t>
      </w:r>
      <w:proofErr w:type="spellEnd"/>
      <w:r w:rsidRPr="00ED188E">
        <w:rPr>
          <w:sz w:val="20"/>
          <w:szCs w:val="20"/>
        </w:rPr>
        <w:t xml:space="preserve"> pomocí </w:t>
      </w:r>
      <w:proofErr w:type="spellStart"/>
      <w:r w:rsidRPr="00ED188E">
        <w:rPr>
          <w:sz w:val="20"/>
          <w:szCs w:val="20"/>
        </w:rPr>
        <w:t>HPLC</w:t>
      </w:r>
      <w:proofErr w:type="spellEnd"/>
      <w:r w:rsidR="00C0525E">
        <w:rPr>
          <w:sz w:val="20"/>
          <w:szCs w:val="20"/>
        </w:rPr>
        <w:t xml:space="preserve"> a analýzou barevného produktu </w:t>
      </w:r>
      <w:proofErr w:type="spellStart"/>
      <w:r w:rsidR="00C0525E">
        <w:rPr>
          <w:sz w:val="20"/>
          <w:szCs w:val="20"/>
        </w:rPr>
        <w:t>DAD</w:t>
      </w:r>
      <w:proofErr w:type="spellEnd"/>
      <w:r w:rsidR="00C0525E">
        <w:rPr>
          <w:sz w:val="20"/>
          <w:szCs w:val="20"/>
        </w:rPr>
        <w:t xml:space="preserve"> detektorem</w:t>
      </w:r>
      <w:r w:rsidR="00545068">
        <w:rPr>
          <w:sz w:val="20"/>
          <w:szCs w:val="20"/>
        </w:rPr>
        <w:t xml:space="preserve"> </w:t>
      </w:r>
      <w:r w:rsidR="00545068" w:rsidRPr="00ED188E">
        <w:rPr>
          <w:sz w:val="20"/>
          <w:szCs w:val="20"/>
        </w:rPr>
        <w:t>(</w:t>
      </w:r>
      <w:proofErr w:type="spellStart"/>
      <w:r w:rsidR="00545068" w:rsidRPr="00ED188E">
        <w:rPr>
          <w:sz w:val="20"/>
          <w:szCs w:val="20"/>
        </w:rPr>
        <w:t>Bastos</w:t>
      </w:r>
      <w:proofErr w:type="spellEnd"/>
      <w:r w:rsidR="00545068" w:rsidRPr="00ED188E">
        <w:rPr>
          <w:sz w:val="20"/>
          <w:szCs w:val="20"/>
        </w:rPr>
        <w:t xml:space="preserve"> </w:t>
      </w:r>
      <w:proofErr w:type="spellStart"/>
      <w:r w:rsidR="00545068" w:rsidRPr="00ED188E">
        <w:rPr>
          <w:sz w:val="20"/>
          <w:szCs w:val="20"/>
        </w:rPr>
        <w:t>et</w:t>
      </w:r>
      <w:proofErr w:type="spellEnd"/>
      <w:r w:rsidR="00545068" w:rsidRPr="00ED188E">
        <w:rPr>
          <w:sz w:val="20"/>
          <w:szCs w:val="20"/>
        </w:rPr>
        <w:t xml:space="preserve"> </w:t>
      </w:r>
      <w:proofErr w:type="spellStart"/>
      <w:r w:rsidR="00545068" w:rsidRPr="00ED188E">
        <w:rPr>
          <w:sz w:val="20"/>
          <w:szCs w:val="20"/>
        </w:rPr>
        <w:t>al</w:t>
      </w:r>
      <w:proofErr w:type="spellEnd"/>
      <w:r w:rsidR="00545068" w:rsidRPr="00ED188E">
        <w:rPr>
          <w:sz w:val="20"/>
          <w:szCs w:val="20"/>
        </w:rPr>
        <w:t xml:space="preserve">., 2012, </w:t>
      </w:r>
      <w:proofErr w:type="spellStart"/>
      <w:r w:rsidR="00545068" w:rsidRPr="00ED188E">
        <w:rPr>
          <w:sz w:val="20"/>
          <w:szCs w:val="20"/>
        </w:rPr>
        <w:t>Luschack</w:t>
      </w:r>
      <w:proofErr w:type="spellEnd"/>
      <w:r w:rsidR="00545068" w:rsidRPr="00ED188E">
        <w:rPr>
          <w:sz w:val="20"/>
          <w:szCs w:val="20"/>
        </w:rPr>
        <w:t xml:space="preserve"> </w:t>
      </w:r>
      <w:proofErr w:type="spellStart"/>
      <w:r w:rsidR="00545068" w:rsidRPr="00ED188E">
        <w:rPr>
          <w:sz w:val="20"/>
          <w:szCs w:val="20"/>
        </w:rPr>
        <w:t>et</w:t>
      </w:r>
      <w:proofErr w:type="spellEnd"/>
      <w:r w:rsidR="00545068" w:rsidRPr="00ED188E">
        <w:rPr>
          <w:sz w:val="20"/>
          <w:szCs w:val="20"/>
        </w:rPr>
        <w:t xml:space="preserve"> </w:t>
      </w:r>
      <w:proofErr w:type="spellStart"/>
      <w:r w:rsidR="00545068" w:rsidRPr="00ED188E">
        <w:rPr>
          <w:sz w:val="20"/>
          <w:szCs w:val="20"/>
        </w:rPr>
        <w:t>al</w:t>
      </w:r>
      <w:proofErr w:type="spellEnd"/>
      <w:r w:rsidR="00545068" w:rsidRPr="00ED188E">
        <w:rPr>
          <w:sz w:val="20"/>
          <w:szCs w:val="20"/>
        </w:rPr>
        <w:t>., 2005)</w:t>
      </w:r>
      <w:r w:rsidR="00545068">
        <w:rPr>
          <w:sz w:val="20"/>
          <w:szCs w:val="20"/>
        </w:rPr>
        <w:t xml:space="preserve">. </w:t>
      </w:r>
      <w:r w:rsidR="00545068" w:rsidRPr="00545068">
        <w:rPr>
          <w:sz w:val="20"/>
          <w:szCs w:val="20"/>
        </w:rPr>
        <w:t xml:space="preserve">Metoda stanovení </w:t>
      </w:r>
      <w:proofErr w:type="spellStart"/>
      <w:r w:rsidR="00545068" w:rsidRPr="00545068">
        <w:rPr>
          <w:sz w:val="20"/>
          <w:szCs w:val="20"/>
        </w:rPr>
        <w:t>MDA</w:t>
      </w:r>
      <w:proofErr w:type="spellEnd"/>
      <w:r w:rsidR="00545068" w:rsidRPr="00545068">
        <w:rPr>
          <w:sz w:val="20"/>
          <w:szCs w:val="20"/>
        </w:rPr>
        <w:t xml:space="preserve"> v butanolovém extraktu využívá měření </w:t>
      </w:r>
      <w:r w:rsidR="00157FE2">
        <w:rPr>
          <w:sz w:val="20"/>
          <w:szCs w:val="20"/>
        </w:rPr>
        <w:t xml:space="preserve">absorbance barevného </w:t>
      </w:r>
      <w:proofErr w:type="spellStart"/>
      <w:r w:rsidR="00157FE2">
        <w:rPr>
          <w:sz w:val="20"/>
          <w:szCs w:val="20"/>
        </w:rPr>
        <w:t>konjugátu</w:t>
      </w:r>
      <w:proofErr w:type="spellEnd"/>
      <w:r w:rsidR="00157FE2">
        <w:rPr>
          <w:sz w:val="20"/>
          <w:szCs w:val="20"/>
        </w:rPr>
        <w:t xml:space="preserve"> (</w:t>
      </w:r>
      <w:r w:rsidR="00545068" w:rsidRPr="00545068">
        <w:rPr>
          <w:sz w:val="20"/>
          <w:szCs w:val="20"/>
        </w:rPr>
        <w:t>absorpční maxim</w:t>
      </w:r>
      <w:r w:rsidR="00157FE2">
        <w:rPr>
          <w:sz w:val="20"/>
          <w:szCs w:val="20"/>
        </w:rPr>
        <w:t xml:space="preserve">um </w:t>
      </w:r>
      <w:proofErr w:type="spellStart"/>
      <w:r w:rsidR="00545068" w:rsidRPr="00545068">
        <w:rPr>
          <w:sz w:val="20"/>
          <w:szCs w:val="20"/>
        </w:rPr>
        <w:t>53</w:t>
      </w:r>
      <w:r w:rsidR="005F599D">
        <w:rPr>
          <w:sz w:val="20"/>
          <w:szCs w:val="20"/>
        </w:rPr>
        <w:t>1</w:t>
      </w:r>
      <w:r w:rsidR="00545068" w:rsidRPr="00545068">
        <w:rPr>
          <w:sz w:val="20"/>
          <w:szCs w:val="20"/>
        </w:rPr>
        <w:t>nm</w:t>
      </w:r>
      <w:proofErr w:type="spellEnd"/>
      <w:r w:rsidR="00157FE2">
        <w:rPr>
          <w:sz w:val="20"/>
          <w:szCs w:val="20"/>
        </w:rPr>
        <w:t>)</w:t>
      </w:r>
      <w:r w:rsidR="00545068" w:rsidRPr="00545068">
        <w:rPr>
          <w:sz w:val="20"/>
          <w:szCs w:val="20"/>
        </w:rPr>
        <w:t xml:space="preserve"> po separaci </w:t>
      </w:r>
      <w:proofErr w:type="spellStart"/>
      <w:r w:rsidR="00545068">
        <w:rPr>
          <w:sz w:val="20"/>
          <w:szCs w:val="20"/>
        </w:rPr>
        <w:t>HPLC</w:t>
      </w:r>
      <w:proofErr w:type="spellEnd"/>
      <w:r w:rsidR="00545068">
        <w:rPr>
          <w:sz w:val="20"/>
          <w:szCs w:val="20"/>
        </w:rPr>
        <w:t xml:space="preserve"> </w:t>
      </w:r>
      <w:r w:rsidR="00545068" w:rsidRPr="00545068">
        <w:rPr>
          <w:sz w:val="20"/>
          <w:szCs w:val="20"/>
        </w:rPr>
        <w:t>na koloně</w:t>
      </w:r>
      <w:r w:rsidR="00545068">
        <w:rPr>
          <w:sz w:val="20"/>
          <w:szCs w:val="20"/>
        </w:rPr>
        <w:t xml:space="preserve"> (</w:t>
      </w:r>
      <w:proofErr w:type="spellStart"/>
      <w:r w:rsidR="00545068">
        <w:rPr>
          <w:sz w:val="20"/>
          <w:szCs w:val="20"/>
        </w:rPr>
        <w:t>C18</w:t>
      </w:r>
      <w:proofErr w:type="spellEnd"/>
      <w:r w:rsidR="00545068">
        <w:rPr>
          <w:sz w:val="20"/>
          <w:szCs w:val="20"/>
        </w:rPr>
        <w:t>)</w:t>
      </w:r>
      <w:r w:rsidR="00545068" w:rsidRPr="00545068">
        <w:rPr>
          <w:sz w:val="20"/>
          <w:szCs w:val="20"/>
        </w:rPr>
        <w:t xml:space="preserve">. </w:t>
      </w:r>
    </w:p>
    <w:p w:rsidR="00545068" w:rsidRPr="00545068" w:rsidRDefault="00545068" w:rsidP="00545068">
      <w:pPr>
        <w:tabs>
          <w:tab w:val="left" w:pos="900"/>
          <w:tab w:val="left" w:pos="1260"/>
        </w:tabs>
        <w:jc w:val="both"/>
        <w:rPr>
          <w:b/>
          <w:sz w:val="20"/>
          <w:szCs w:val="20"/>
        </w:rPr>
      </w:pPr>
      <w:r w:rsidRPr="00545068">
        <w:rPr>
          <w:b/>
          <w:sz w:val="20"/>
          <w:szCs w:val="20"/>
        </w:rPr>
        <w:t xml:space="preserve">ROS + </w:t>
      </w:r>
      <w:proofErr w:type="spellStart"/>
      <w:r w:rsidRPr="00545068">
        <w:rPr>
          <w:b/>
          <w:sz w:val="20"/>
          <w:szCs w:val="20"/>
        </w:rPr>
        <w:t>nenas</w:t>
      </w:r>
      <w:proofErr w:type="spellEnd"/>
      <w:r w:rsidRPr="00545068">
        <w:rPr>
          <w:b/>
          <w:sz w:val="20"/>
          <w:szCs w:val="20"/>
        </w:rPr>
        <w:t xml:space="preserve">. mast. kyseliny → </w:t>
      </w:r>
      <w:proofErr w:type="spellStart"/>
      <w:r w:rsidRPr="00545068">
        <w:rPr>
          <w:b/>
          <w:sz w:val="20"/>
          <w:szCs w:val="20"/>
        </w:rPr>
        <w:t>MDA</w:t>
      </w:r>
      <w:proofErr w:type="spellEnd"/>
    </w:p>
    <w:p w:rsidR="00444658" w:rsidRDefault="00545068" w:rsidP="00444658">
      <w:pPr>
        <w:tabs>
          <w:tab w:val="left" w:pos="900"/>
          <w:tab w:val="left" w:pos="1260"/>
        </w:tabs>
        <w:jc w:val="both"/>
        <w:rPr>
          <w:sz w:val="20"/>
          <w:szCs w:val="20"/>
        </w:rPr>
      </w:pPr>
      <w:proofErr w:type="spellStart"/>
      <w:r w:rsidRPr="00545068">
        <w:rPr>
          <w:b/>
          <w:sz w:val="20"/>
          <w:szCs w:val="20"/>
        </w:rPr>
        <w:t>MDA</w:t>
      </w:r>
      <w:proofErr w:type="spellEnd"/>
      <w:r w:rsidRPr="00545068">
        <w:rPr>
          <w:b/>
          <w:sz w:val="20"/>
          <w:szCs w:val="20"/>
        </w:rPr>
        <w:t xml:space="preserve"> + </w:t>
      </w:r>
      <w:proofErr w:type="spellStart"/>
      <w:r w:rsidRPr="00545068">
        <w:rPr>
          <w:b/>
          <w:sz w:val="20"/>
          <w:szCs w:val="20"/>
        </w:rPr>
        <w:t>2TBA</w:t>
      </w:r>
      <w:proofErr w:type="spellEnd"/>
      <w:r w:rsidRPr="00545068">
        <w:rPr>
          <w:b/>
          <w:sz w:val="20"/>
          <w:szCs w:val="20"/>
        </w:rPr>
        <w:t xml:space="preserve"> → barevný komplex</w:t>
      </w:r>
      <w:r w:rsidR="00444658">
        <w:rPr>
          <w:sz w:val="20"/>
          <w:szCs w:val="20"/>
        </w:rPr>
        <w:tab/>
      </w:r>
    </w:p>
    <w:p w:rsidR="00545068" w:rsidRPr="00545068" w:rsidRDefault="006D37D0" w:rsidP="00444658">
      <w:pPr>
        <w:tabs>
          <w:tab w:val="left" w:pos="900"/>
          <w:tab w:val="left" w:pos="126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4.65pt;margin-top:53.95pt;width:0;height:42.6pt;flip:y;z-index:251658240" o:connectortype="straight">
            <v:stroke endarrow="block"/>
          </v:shape>
        </w:pict>
      </w:r>
      <w:r w:rsidR="00444658">
        <w:rPr>
          <w:sz w:val="20"/>
          <w:szCs w:val="20"/>
        </w:rPr>
        <w:tab/>
      </w:r>
      <w:r w:rsidR="00444658">
        <w:rPr>
          <w:sz w:val="20"/>
          <w:szCs w:val="20"/>
        </w:rPr>
        <w:tab/>
      </w:r>
      <w:r w:rsidR="00444658">
        <w:rPr>
          <w:sz w:val="20"/>
          <w:szCs w:val="20"/>
        </w:rPr>
        <w:tab/>
      </w:r>
      <w:r w:rsidR="00444658">
        <w:rPr>
          <w:sz w:val="20"/>
          <w:szCs w:val="20"/>
        </w:rPr>
        <w:tab/>
      </w:r>
      <w:r w:rsidR="00B624A8" w:rsidRPr="00B624A8">
        <w:rPr>
          <w:noProof/>
          <w:sz w:val="20"/>
          <w:szCs w:val="20"/>
          <w:lang w:eastAsia="cs-CZ"/>
        </w:rPr>
        <w:drawing>
          <wp:inline distT="0" distB="0" distL="0" distR="0">
            <wp:extent cx="4074831" cy="1111911"/>
            <wp:effectExtent l="19050" t="0" r="1869" b="0"/>
            <wp:docPr id="3" name="obrázek 1" descr="https://encrypted-tbn1.gstatic.com/images?q=tbn:ANd9GcSR_YGhgHpuJqDp6daBEfP6y2w02C32-R6tsd4HCUlL4GHhpkFT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_YGhgHpuJqDp6daBEfP6y2w02C32-R6tsd4HCUlL4GHhpkFTf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87" cy="111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68" w:rsidRDefault="00BB0624" w:rsidP="00C0525E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32A2">
        <w:rPr>
          <w:noProof/>
          <w:szCs w:val="20"/>
          <w:lang w:eastAsia="cs-CZ"/>
        </w:rPr>
        <w:drawing>
          <wp:inline distT="0" distB="0" distL="0" distR="0">
            <wp:extent cx="1187958" cy="35785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96" cy="35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68" w:rsidRPr="00682944" w:rsidRDefault="00545068" w:rsidP="00545068">
      <w:pPr>
        <w:pStyle w:val="Odstavecseseznamem"/>
        <w:ind w:left="1080"/>
        <w:rPr>
          <w:b/>
          <w:sz w:val="24"/>
          <w:szCs w:val="24"/>
          <w:u w:val="single"/>
        </w:rPr>
      </w:pPr>
      <w:r w:rsidRPr="00682944">
        <w:rPr>
          <w:b/>
          <w:sz w:val="24"/>
          <w:szCs w:val="24"/>
          <w:u w:val="single"/>
        </w:rPr>
        <w:t>1) Homogenizace</w:t>
      </w:r>
    </w:p>
    <w:p w:rsidR="00D02DAE" w:rsidRPr="004A59FE" w:rsidRDefault="00D02DAE" w:rsidP="00D02DAE">
      <w:pPr>
        <w:pStyle w:val="Odstavecseseznamem"/>
        <w:ind w:left="1080"/>
        <w:rPr>
          <w:sz w:val="20"/>
          <w:szCs w:val="20"/>
        </w:rPr>
      </w:pPr>
    </w:p>
    <w:p w:rsidR="00545068" w:rsidRDefault="004A59FE" w:rsidP="004A59FE">
      <w:pPr>
        <w:pStyle w:val="Odstavecseseznamem"/>
        <w:ind w:left="0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>Postup:</w:t>
      </w:r>
    </w:p>
    <w:p w:rsidR="00545068" w:rsidRPr="004A59FE" w:rsidRDefault="00545068" w:rsidP="004A59FE">
      <w:pPr>
        <w:pStyle w:val="Odstavecseseznamem"/>
        <w:ind w:left="0"/>
        <w:rPr>
          <w:b/>
          <w:sz w:val="20"/>
          <w:szCs w:val="20"/>
        </w:rPr>
      </w:pPr>
    </w:p>
    <w:p w:rsidR="00545068" w:rsidRP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545068">
        <w:rPr>
          <w:sz w:val="20"/>
          <w:szCs w:val="20"/>
        </w:rPr>
        <w:t xml:space="preserve">Vzorky zmražených tkání jsou na ledu </w:t>
      </w:r>
      <w:r w:rsidRPr="00545068">
        <w:rPr>
          <w:b/>
          <w:sz w:val="20"/>
          <w:szCs w:val="20"/>
        </w:rPr>
        <w:t>krájeny</w:t>
      </w:r>
      <w:r w:rsidRPr="00545068">
        <w:rPr>
          <w:sz w:val="20"/>
          <w:szCs w:val="20"/>
        </w:rPr>
        <w:t xml:space="preserve"> skalpelem a </w:t>
      </w:r>
      <w:r w:rsidRPr="00545068">
        <w:rPr>
          <w:b/>
          <w:sz w:val="20"/>
          <w:szCs w:val="20"/>
        </w:rPr>
        <w:t>váženy</w:t>
      </w:r>
      <w:r w:rsidRPr="00545068">
        <w:rPr>
          <w:sz w:val="20"/>
          <w:szCs w:val="20"/>
        </w:rPr>
        <w:t xml:space="preserve"> v </w:t>
      </w:r>
      <w:proofErr w:type="spellStart"/>
      <w:r w:rsidRPr="00545068">
        <w:rPr>
          <w:sz w:val="20"/>
          <w:szCs w:val="20"/>
        </w:rPr>
        <w:t>mikrozkumavkách</w:t>
      </w:r>
      <w:proofErr w:type="spellEnd"/>
      <w:r w:rsidRPr="00545068">
        <w:rPr>
          <w:sz w:val="20"/>
          <w:szCs w:val="20"/>
        </w:rPr>
        <w:t xml:space="preserve"> na analytických vahách, poté </w:t>
      </w:r>
      <w:r>
        <w:rPr>
          <w:sz w:val="20"/>
          <w:szCs w:val="20"/>
        </w:rPr>
        <w:t>udržovány</w:t>
      </w:r>
      <w:r w:rsidRPr="00545068">
        <w:rPr>
          <w:sz w:val="20"/>
          <w:szCs w:val="20"/>
        </w:rPr>
        <w:t xml:space="preserve"> na </w:t>
      </w:r>
      <w:r w:rsidRPr="000E76D0">
        <w:rPr>
          <w:b/>
          <w:sz w:val="20"/>
          <w:szCs w:val="20"/>
        </w:rPr>
        <w:t>ledu</w:t>
      </w:r>
      <w:r w:rsidRPr="00545068">
        <w:rPr>
          <w:sz w:val="20"/>
          <w:szCs w:val="20"/>
        </w:rPr>
        <w:t>, aby se zabránilo jejich rozmražení.</w:t>
      </w:r>
    </w:p>
    <w:p w:rsid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545068">
        <w:rPr>
          <w:sz w:val="20"/>
          <w:szCs w:val="20"/>
        </w:rPr>
        <w:t xml:space="preserve">Homogenizace zmražených vzorků </w:t>
      </w:r>
      <w:r w:rsidR="007677E8">
        <w:rPr>
          <w:sz w:val="20"/>
          <w:szCs w:val="20"/>
        </w:rPr>
        <w:t xml:space="preserve">živočišných </w:t>
      </w:r>
      <w:r w:rsidRPr="00545068">
        <w:rPr>
          <w:sz w:val="20"/>
          <w:szCs w:val="20"/>
        </w:rPr>
        <w:t xml:space="preserve">tkání se provádí ve fosfátovém pufru </w:t>
      </w:r>
      <w:proofErr w:type="spellStart"/>
      <w:r w:rsidRPr="00545068">
        <w:rPr>
          <w:sz w:val="20"/>
          <w:szCs w:val="20"/>
        </w:rPr>
        <w:t>PBS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545068">
        <w:rPr>
          <w:sz w:val="20"/>
          <w:szCs w:val="20"/>
        </w:rPr>
        <w:t>8g</w:t>
      </w:r>
      <w:proofErr w:type="spellEnd"/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NaCl</w:t>
      </w:r>
      <w:proofErr w:type="spellEnd"/>
      <w:r>
        <w:rPr>
          <w:sz w:val="20"/>
          <w:szCs w:val="20"/>
        </w:rPr>
        <w:t xml:space="preserve">; </w:t>
      </w:r>
      <w:r w:rsidRPr="00545068">
        <w:rPr>
          <w:sz w:val="20"/>
          <w:szCs w:val="20"/>
        </w:rPr>
        <w:t>0,</w:t>
      </w:r>
      <w:proofErr w:type="spellStart"/>
      <w:r w:rsidRPr="00545068">
        <w:rPr>
          <w:sz w:val="20"/>
          <w:szCs w:val="20"/>
        </w:rPr>
        <w:t>2g</w:t>
      </w:r>
      <w:proofErr w:type="spellEnd"/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KCl</w:t>
      </w:r>
      <w:proofErr w:type="spellEnd"/>
      <w:r>
        <w:rPr>
          <w:sz w:val="20"/>
          <w:szCs w:val="20"/>
        </w:rPr>
        <w:t>; 2,</w:t>
      </w:r>
      <w:proofErr w:type="spellStart"/>
      <w:r>
        <w:rPr>
          <w:sz w:val="20"/>
          <w:szCs w:val="20"/>
        </w:rPr>
        <w:t>9g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Na2HPO4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12H2O</w:t>
      </w:r>
      <w:proofErr w:type="spellEnd"/>
      <w:r>
        <w:rPr>
          <w:sz w:val="20"/>
          <w:szCs w:val="20"/>
        </w:rPr>
        <w:t xml:space="preserve">; </w:t>
      </w:r>
      <w:r w:rsidRPr="00545068">
        <w:rPr>
          <w:sz w:val="20"/>
          <w:szCs w:val="20"/>
        </w:rPr>
        <w:t>0,</w:t>
      </w:r>
      <w:proofErr w:type="spellStart"/>
      <w:r w:rsidRPr="00545068">
        <w:rPr>
          <w:sz w:val="20"/>
          <w:szCs w:val="20"/>
        </w:rPr>
        <w:t>2g</w:t>
      </w:r>
      <w:proofErr w:type="spellEnd"/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KH2</w:t>
      </w:r>
      <w:proofErr w:type="spellEnd"/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PO4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1L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deionizované</w:t>
      </w:r>
      <w:proofErr w:type="spellEnd"/>
      <w:r>
        <w:rPr>
          <w:sz w:val="20"/>
          <w:szCs w:val="20"/>
        </w:rPr>
        <w:t xml:space="preserve"> vody; pH 7.2) </w:t>
      </w:r>
      <w:r w:rsidRPr="00545068">
        <w:rPr>
          <w:sz w:val="20"/>
          <w:szCs w:val="20"/>
        </w:rPr>
        <w:t xml:space="preserve">pro všechny typy použitých tkání v adekvátním objemu </w:t>
      </w:r>
      <w:r w:rsidR="00E919E2">
        <w:rPr>
          <w:sz w:val="20"/>
          <w:szCs w:val="20"/>
        </w:rPr>
        <w:t>300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PBS</w:t>
      </w:r>
      <w:proofErr w:type="spellEnd"/>
      <w:r w:rsidRPr="00545068">
        <w:rPr>
          <w:sz w:val="20"/>
          <w:szCs w:val="20"/>
        </w:rPr>
        <w:t>/</w:t>
      </w:r>
      <w:proofErr w:type="spellStart"/>
      <w:r w:rsidR="00E919E2">
        <w:rPr>
          <w:sz w:val="20"/>
          <w:szCs w:val="20"/>
        </w:rPr>
        <w:t>30</w:t>
      </w:r>
      <w:r w:rsidRPr="00545068">
        <w:rPr>
          <w:sz w:val="20"/>
          <w:szCs w:val="20"/>
        </w:rPr>
        <w:t>mg</w:t>
      </w:r>
      <w:proofErr w:type="spellEnd"/>
      <w:r w:rsidRPr="00545068">
        <w:rPr>
          <w:sz w:val="20"/>
          <w:szCs w:val="20"/>
        </w:rPr>
        <w:t xml:space="preserve"> tkáně. Tkáně jsou homogenizovány (homogenizátor </w:t>
      </w:r>
      <w:proofErr w:type="spellStart"/>
      <w:r w:rsidRPr="00545068">
        <w:rPr>
          <w:sz w:val="20"/>
          <w:szCs w:val="20"/>
        </w:rPr>
        <w:t>Silamat</w:t>
      </w:r>
      <w:proofErr w:type="spellEnd"/>
      <w:r w:rsidRPr="00545068">
        <w:rPr>
          <w:sz w:val="20"/>
          <w:szCs w:val="20"/>
        </w:rPr>
        <w:t xml:space="preserve"> </w:t>
      </w:r>
      <w:proofErr w:type="spellStart"/>
      <w:r w:rsidRPr="00545068">
        <w:rPr>
          <w:sz w:val="20"/>
          <w:szCs w:val="20"/>
        </w:rPr>
        <w:t>S5</w:t>
      </w:r>
      <w:proofErr w:type="spellEnd"/>
      <w:r w:rsidRPr="00545068">
        <w:rPr>
          <w:sz w:val="20"/>
          <w:szCs w:val="20"/>
        </w:rPr>
        <w:t xml:space="preserve">, </w:t>
      </w:r>
      <w:proofErr w:type="spellStart"/>
      <w:r w:rsidRPr="00545068">
        <w:rPr>
          <w:sz w:val="20"/>
          <w:szCs w:val="20"/>
        </w:rPr>
        <w:t>MP</w:t>
      </w:r>
      <w:proofErr w:type="spellEnd"/>
      <w:r w:rsidRPr="00545068">
        <w:rPr>
          <w:sz w:val="20"/>
          <w:szCs w:val="20"/>
        </w:rPr>
        <w:t xml:space="preserve"> Bio) vychlazené s </w:t>
      </w:r>
      <w:r>
        <w:rPr>
          <w:sz w:val="20"/>
          <w:szCs w:val="20"/>
        </w:rPr>
        <w:t>mraženými</w:t>
      </w:r>
      <w:r w:rsidRPr="00545068">
        <w:rPr>
          <w:sz w:val="20"/>
          <w:szCs w:val="20"/>
        </w:rPr>
        <w:t xml:space="preserve"> skleněnými kuličkami po dobu přibližně </w:t>
      </w:r>
      <w:proofErr w:type="spellStart"/>
      <w:r w:rsidRPr="00545068">
        <w:rPr>
          <w:sz w:val="20"/>
          <w:szCs w:val="20"/>
        </w:rPr>
        <w:t>2x20s</w:t>
      </w:r>
      <w:proofErr w:type="spellEnd"/>
      <w:r w:rsidRPr="00545068">
        <w:rPr>
          <w:sz w:val="20"/>
          <w:szCs w:val="20"/>
        </w:rPr>
        <w:t xml:space="preserve">. </w:t>
      </w:r>
      <w:r w:rsidR="007677E8">
        <w:rPr>
          <w:sz w:val="20"/>
          <w:szCs w:val="20"/>
        </w:rPr>
        <w:t xml:space="preserve">Homogenizaci u rostlinných tkání předchází </w:t>
      </w:r>
      <w:r w:rsidR="004865BF">
        <w:rPr>
          <w:sz w:val="20"/>
          <w:szCs w:val="20"/>
        </w:rPr>
        <w:t xml:space="preserve">nastříhání/krájení a </w:t>
      </w:r>
      <w:r w:rsidR="007677E8">
        <w:rPr>
          <w:sz w:val="20"/>
          <w:szCs w:val="20"/>
        </w:rPr>
        <w:t xml:space="preserve">rozmělnění nebo rozdrcení v třecí misce. </w:t>
      </w:r>
    </w:p>
    <w:p w:rsid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</w:p>
    <w:p w:rsid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</w:p>
    <w:p w:rsidR="00545068" w:rsidRPr="00682944" w:rsidRDefault="00545068" w:rsidP="00545068">
      <w:pPr>
        <w:pStyle w:val="Odstavecseseznamem"/>
        <w:ind w:left="1080"/>
        <w:rPr>
          <w:b/>
          <w:sz w:val="24"/>
          <w:szCs w:val="24"/>
          <w:u w:val="single"/>
        </w:rPr>
      </w:pPr>
      <w:r w:rsidRPr="00682944">
        <w:rPr>
          <w:b/>
          <w:sz w:val="24"/>
          <w:szCs w:val="24"/>
          <w:u w:val="single"/>
        </w:rPr>
        <w:t xml:space="preserve">2) </w:t>
      </w:r>
      <w:r w:rsidR="000E76D0">
        <w:rPr>
          <w:b/>
          <w:sz w:val="24"/>
          <w:szCs w:val="24"/>
          <w:u w:val="single"/>
        </w:rPr>
        <w:t xml:space="preserve">Stanovení </w:t>
      </w:r>
      <w:proofErr w:type="spellStart"/>
      <w:r w:rsidR="000E76D0">
        <w:rPr>
          <w:b/>
          <w:sz w:val="24"/>
          <w:szCs w:val="24"/>
          <w:u w:val="single"/>
        </w:rPr>
        <w:t>MDA</w:t>
      </w:r>
      <w:proofErr w:type="spellEnd"/>
      <w:r w:rsidR="00673939">
        <w:rPr>
          <w:b/>
          <w:sz w:val="24"/>
          <w:szCs w:val="24"/>
          <w:u w:val="single"/>
        </w:rPr>
        <w:t xml:space="preserve"> (</w:t>
      </w:r>
      <w:proofErr w:type="spellStart"/>
      <w:r w:rsidR="00673939">
        <w:rPr>
          <w:b/>
          <w:sz w:val="24"/>
          <w:szCs w:val="24"/>
          <w:u w:val="single"/>
        </w:rPr>
        <w:t>TBARs</w:t>
      </w:r>
      <w:proofErr w:type="spellEnd"/>
      <w:r w:rsidR="00673939">
        <w:rPr>
          <w:b/>
          <w:sz w:val="24"/>
          <w:szCs w:val="24"/>
          <w:u w:val="single"/>
        </w:rPr>
        <w:t>)</w:t>
      </w:r>
    </w:p>
    <w:p w:rsidR="000E76D0" w:rsidRDefault="000E76D0" w:rsidP="00682944">
      <w:pPr>
        <w:pStyle w:val="Odstavecseseznamem"/>
        <w:ind w:left="1080"/>
        <w:rPr>
          <w:sz w:val="20"/>
          <w:szCs w:val="20"/>
        </w:rPr>
      </w:pP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>
        <w:rPr>
          <w:sz w:val="20"/>
          <w:szCs w:val="20"/>
        </w:rPr>
        <w:t>Chemikálie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proofErr w:type="spellStart"/>
      <w:r w:rsidRPr="00682944">
        <w:rPr>
          <w:sz w:val="20"/>
          <w:szCs w:val="20"/>
        </w:rPr>
        <w:t>TCA</w:t>
      </w:r>
      <w:proofErr w:type="spellEnd"/>
      <w:r w:rsidRPr="00682944">
        <w:rPr>
          <w:sz w:val="20"/>
          <w:szCs w:val="20"/>
        </w:rPr>
        <w:t xml:space="preserve"> 20% kyselina trichloroctová (w/v)[163,39 g/mol] 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proofErr w:type="spellStart"/>
      <w:r w:rsidRPr="00682944">
        <w:rPr>
          <w:sz w:val="20"/>
          <w:szCs w:val="20"/>
        </w:rPr>
        <w:t>BHT</w:t>
      </w:r>
      <w:proofErr w:type="spellEnd"/>
      <w:r w:rsidRPr="00682944">
        <w:rPr>
          <w:sz w:val="20"/>
          <w:szCs w:val="20"/>
        </w:rPr>
        <w:t xml:space="preserve"> 2% </w:t>
      </w:r>
      <w:proofErr w:type="spellStart"/>
      <w:r w:rsidRPr="00682944">
        <w:rPr>
          <w:sz w:val="20"/>
          <w:szCs w:val="20"/>
        </w:rPr>
        <w:t>butylovaný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hydrotoluen</w:t>
      </w:r>
      <w:proofErr w:type="spellEnd"/>
      <w:r w:rsidRPr="00682944">
        <w:rPr>
          <w:sz w:val="20"/>
          <w:szCs w:val="20"/>
        </w:rPr>
        <w:t xml:space="preserve"> (w/v) [220,35 g/mol] 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>0,</w:t>
      </w:r>
      <w:proofErr w:type="spellStart"/>
      <w:r w:rsidRPr="00682944">
        <w:rPr>
          <w:sz w:val="20"/>
          <w:szCs w:val="20"/>
        </w:rPr>
        <w:t>6M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HCl</w:t>
      </w:r>
      <w:proofErr w:type="spellEnd"/>
      <w:r w:rsidRPr="00682944">
        <w:rPr>
          <w:sz w:val="20"/>
          <w:szCs w:val="20"/>
        </w:rPr>
        <w:t xml:space="preserve"> [36.4611 g/mol]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proofErr w:type="spellStart"/>
      <w:r w:rsidRPr="00682944">
        <w:rPr>
          <w:sz w:val="20"/>
          <w:szCs w:val="20"/>
        </w:rPr>
        <w:t>TRIS</w:t>
      </w:r>
      <w:proofErr w:type="spellEnd"/>
      <w:r w:rsidRPr="00682944">
        <w:rPr>
          <w:sz w:val="20"/>
          <w:szCs w:val="20"/>
        </w:rPr>
        <w:t>-</w:t>
      </w:r>
      <w:proofErr w:type="spellStart"/>
      <w:r w:rsidRPr="00682944">
        <w:rPr>
          <w:sz w:val="20"/>
          <w:szCs w:val="20"/>
        </w:rPr>
        <w:t>TBA</w:t>
      </w:r>
      <w:proofErr w:type="spellEnd"/>
      <w:r w:rsidRPr="00682944">
        <w:rPr>
          <w:sz w:val="20"/>
          <w:szCs w:val="20"/>
        </w:rPr>
        <w:t xml:space="preserve"> (</w:t>
      </w:r>
      <w:proofErr w:type="spellStart"/>
      <w:r w:rsidRPr="00682944">
        <w:rPr>
          <w:sz w:val="20"/>
          <w:szCs w:val="20"/>
        </w:rPr>
        <w:t>25mM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TRIS</w:t>
      </w:r>
      <w:proofErr w:type="spellEnd"/>
      <w:r w:rsidRPr="00682944">
        <w:rPr>
          <w:sz w:val="20"/>
          <w:szCs w:val="20"/>
        </w:rPr>
        <w:t xml:space="preserve">, </w:t>
      </w:r>
      <w:proofErr w:type="spellStart"/>
      <w:r w:rsidRPr="00682944">
        <w:rPr>
          <w:sz w:val="20"/>
          <w:szCs w:val="20"/>
        </w:rPr>
        <w:t>100mM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TBA</w:t>
      </w:r>
      <w:proofErr w:type="spellEnd"/>
      <w:r w:rsidRPr="00682944">
        <w:rPr>
          <w:sz w:val="20"/>
          <w:szCs w:val="20"/>
        </w:rPr>
        <w:t xml:space="preserve"> v destilované vodě, pH 7,4)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Standard </w:t>
      </w:r>
      <w:proofErr w:type="spellStart"/>
      <w:r w:rsidRPr="00682944">
        <w:rPr>
          <w:sz w:val="20"/>
          <w:szCs w:val="20"/>
        </w:rPr>
        <w:t>MDA</w:t>
      </w:r>
      <w:proofErr w:type="spellEnd"/>
      <w:r w:rsidRPr="00682944">
        <w:rPr>
          <w:sz w:val="20"/>
          <w:szCs w:val="20"/>
        </w:rPr>
        <w:t xml:space="preserve"> (0,22% 1,1,3,3-</w:t>
      </w:r>
      <w:proofErr w:type="spellStart"/>
      <w:r w:rsidRPr="00682944">
        <w:rPr>
          <w:sz w:val="20"/>
          <w:szCs w:val="20"/>
        </w:rPr>
        <w:t>tetraethoxypropan</w:t>
      </w:r>
      <w:proofErr w:type="spellEnd"/>
      <w:r w:rsidRPr="00682944">
        <w:rPr>
          <w:sz w:val="20"/>
          <w:szCs w:val="20"/>
        </w:rPr>
        <w:t xml:space="preserve"> (w/v) v 1% </w:t>
      </w:r>
      <w:proofErr w:type="spellStart"/>
      <w:r w:rsidRPr="00682944">
        <w:rPr>
          <w:sz w:val="20"/>
          <w:szCs w:val="20"/>
        </w:rPr>
        <w:t>H2SO4</w:t>
      </w:r>
      <w:proofErr w:type="spellEnd"/>
      <w:r w:rsidRPr="00682944">
        <w:rPr>
          <w:sz w:val="20"/>
          <w:szCs w:val="20"/>
        </w:rPr>
        <w:t xml:space="preserve">) [220,31 g/mol] 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>Butanol</w:t>
      </w:r>
    </w:p>
    <w:p w:rsid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>Metanol</w:t>
      </w:r>
    </w:p>
    <w:p w:rsidR="00E919E2" w:rsidRPr="00682944" w:rsidRDefault="00E919E2" w:rsidP="00682944">
      <w:pPr>
        <w:pStyle w:val="Odstavecseseznamem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Fosfátový pufr </w:t>
      </w:r>
      <w:proofErr w:type="spellStart"/>
      <w:r>
        <w:rPr>
          <w:sz w:val="20"/>
          <w:szCs w:val="20"/>
        </w:rPr>
        <w:t>50mM</w:t>
      </w:r>
      <w:proofErr w:type="spellEnd"/>
    </w:p>
    <w:p w:rsidR="00682944" w:rsidRDefault="00682944" w:rsidP="00682944">
      <w:pPr>
        <w:pStyle w:val="Odstavecseseznamem"/>
        <w:ind w:left="1080"/>
        <w:rPr>
          <w:sz w:val="20"/>
          <w:szCs w:val="20"/>
        </w:rPr>
      </w:pPr>
    </w:p>
    <w:p w:rsidR="00541E90" w:rsidRPr="00682944" w:rsidRDefault="00541E90" w:rsidP="00682944">
      <w:pPr>
        <w:pStyle w:val="Odstavecseseznamem"/>
        <w:ind w:left="1080"/>
        <w:rPr>
          <w:sz w:val="20"/>
          <w:szCs w:val="20"/>
        </w:rPr>
      </w:pPr>
    </w:p>
    <w:p w:rsidR="00682944" w:rsidRPr="00682944" w:rsidRDefault="007677E8" w:rsidP="00682944">
      <w:pPr>
        <w:pStyle w:val="Odstavecseseznamem"/>
        <w:ind w:left="1080"/>
        <w:rPr>
          <w:sz w:val="20"/>
          <w:szCs w:val="20"/>
        </w:rPr>
      </w:pPr>
      <w:r>
        <w:rPr>
          <w:sz w:val="20"/>
          <w:szCs w:val="20"/>
        </w:rPr>
        <w:t>Roztoky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1) </w:t>
      </w:r>
      <w:proofErr w:type="spellStart"/>
      <w:r w:rsidRPr="00682944">
        <w:rPr>
          <w:sz w:val="20"/>
          <w:szCs w:val="20"/>
        </w:rPr>
        <w:t>TCA</w:t>
      </w:r>
      <w:proofErr w:type="spellEnd"/>
      <w:r w:rsidR="00FC2DC5">
        <w:rPr>
          <w:sz w:val="20"/>
          <w:szCs w:val="20"/>
        </w:rPr>
        <w:t xml:space="preserve"> 20%</w:t>
      </w:r>
      <w:r w:rsidRPr="00682944">
        <w:rPr>
          <w:sz w:val="20"/>
          <w:szCs w:val="20"/>
        </w:rPr>
        <w:t>: (</w:t>
      </w:r>
      <w:r w:rsidRPr="00682944">
        <w:rPr>
          <w:b/>
          <w:sz w:val="20"/>
          <w:szCs w:val="20"/>
        </w:rPr>
        <w:t>připrav</w:t>
      </w:r>
      <w:r>
        <w:rPr>
          <w:b/>
          <w:sz w:val="20"/>
          <w:szCs w:val="20"/>
        </w:rPr>
        <w:t>en</w:t>
      </w:r>
      <w:r w:rsidRPr="00682944">
        <w:rPr>
          <w:b/>
          <w:sz w:val="20"/>
          <w:szCs w:val="20"/>
        </w:rPr>
        <w:t xml:space="preserve"> předem</w:t>
      </w:r>
      <w:r w:rsidRPr="00682944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  <w:proofErr w:type="spellStart"/>
      <w:r w:rsidRPr="00682944">
        <w:rPr>
          <w:sz w:val="20"/>
          <w:szCs w:val="20"/>
        </w:rPr>
        <w:t>10g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TCA</w:t>
      </w:r>
      <w:proofErr w:type="spellEnd"/>
      <w:r w:rsidRPr="00682944">
        <w:rPr>
          <w:sz w:val="20"/>
          <w:szCs w:val="20"/>
        </w:rPr>
        <w:t>/</w:t>
      </w:r>
      <w:proofErr w:type="spellStart"/>
      <w:r w:rsidRPr="00682944">
        <w:rPr>
          <w:sz w:val="20"/>
          <w:szCs w:val="20"/>
        </w:rPr>
        <w:t>50ml</w:t>
      </w:r>
      <w:proofErr w:type="spellEnd"/>
      <w:r w:rsidRPr="00682944">
        <w:rPr>
          <w:sz w:val="20"/>
          <w:szCs w:val="20"/>
        </w:rPr>
        <w:t xml:space="preserve"> destilované vody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1g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BHT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50ml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ethanolu</w:t>
      </w:r>
      <w:proofErr w:type="spellEnd"/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>Poté vzít 0,</w:t>
      </w:r>
      <w:proofErr w:type="spellStart"/>
      <w:r w:rsidRPr="00682944">
        <w:rPr>
          <w:sz w:val="20"/>
          <w:szCs w:val="20"/>
        </w:rPr>
        <w:t>25ml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BHT</w:t>
      </w:r>
      <w:proofErr w:type="spellEnd"/>
      <w:r w:rsidRPr="00682944">
        <w:rPr>
          <w:sz w:val="20"/>
          <w:szCs w:val="20"/>
        </w:rPr>
        <w:t xml:space="preserve"> a rozpustit v </w:t>
      </w:r>
      <w:proofErr w:type="spellStart"/>
      <w:r w:rsidRPr="00682944">
        <w:rPr>
          <w:sz w:val="20"/>
          <w:szCs w:val="20"/>
        </w:rPr>
        <w:t>50ml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TCA</w:t>
      </w:r>
      <w:proofErr w:type="spellEnd"/>
      <w:r w:rsidRPr="00682944">
        <w:rPr>
          <w:sz w:val="20"/>
          <w:szCs w:val="20"/>
        </w:rPr>
        <w:t>.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>2)</w:t>
      </w:r>
      <w:proofErr w:type="spellStart"/>
      <w:r w:rsidRPr="00682944">
        <w:rPr>
          <w:sz w:val="20"/>
          <w:szCs w:val="20"/>
        </w:rPr>
        <w:t>HCl</w:t>
      </w:r>
      <w:proofErr w:type="spellEnd"/>
      <w:r w:rsidRPr="00682944">
        <w:rPr>
          <w:sz w:val="20"/>
          <w:szCs w:val="20"/>
        </w:rPr>
        <w:t>-</w:t>
      </w:r>
      <w:proofErr w:type="spellStart"/>
      <w:r w:rsidRPr="00682944">
        <w:rPr>
          <w:sz w:val="20"/>
          <w:szCs w:val="20"/>
        </w:rPr>
        <w:t>BHT</w:t>
      </w:r>
      <w:proofErr w:type="spellEnd"/>
      <w:r w:rsidRPr="00682944">
        <w:rPr>
          <w:sz w:val="20"/>
          <w:szCs w:val="20"/>
        </w:rPr>
        <w:t xml:space="preserve"> 0,02%: (</w:t>
      </w:r>
      <w:r w:rsidRPr="00682944">
        <w:rPr>
          <w:b/>
          <w:sz w:val="20"/>
          <w:szCs w:val="20"/>
        </w:rPr>
        <w:t>připrav</w:t>
      </w:r>
      <w:r>
        <w:rPr>
          <w:b/>
          <w:sz w:val="20"/>
          <w:szCs w:val="20"/>
        </w:rPr>
        <w:t>en</w:t>
      </w:r>
      <w:r w:rsidRPr="00682944">
        <w:rPr>
          <w:b/>
          <w:sz w:val="20"/>
          <w:szCs w:val="20"/>
        </w:rPr>
        <w:t xml:space="preserve"> </w:t>
      </w:r>
      <w:r w:rsidR="00DF319A">
        <w:rPr>
          <w:b/>
          <w:sz w:val="20"/>
          <w:szCs w:val="20"/>
        </w:rPr>
        <w:t>v den stanovení</w:t>
      </w:r>
      <w:r w:rsidRPr="00682944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  <w:proofErr w:type="spellStart"/>
      <w:r w:rsidRPr="00682944">
        <w:rPr>
          <w:sz w:val="20"/>
          <w:szCs w:val="20"/>
        </w:rPr>
        <w:t>1g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BHT</w:t>
      </w:r>
      <w:proofErr w:type="spellEnd"/>
      <w:r w:rsidRPr="00682944">
        <w:rPr>
          <w:sz w:val="20"/>
          <w:szCs w:val="20"/>
        </w:rPr>
        <w:t xml:space="preserve"> /</w:t>
      </w:r>
      <w:proofErr w:type="spellStart"/>
      <w:r w:rsidRPr="00682944">
        <w:rPr>
          <w:sz w:val="20"/>
          <w:szCs w:val="20"/>
        </w:rPr>
        <w:t>50ml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ethanolu</w:t>
      </w:r>
      <w:proofErr w:type="spellEnd"/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>Poté vzít 0,</w:t>
      </w:r>
      <w:proofErr w:type="spellStart"/>
      <w:r w:rsidRPr="00682944">
        <w:rPr>
          <w:sz w:val="20"/>
          <w:szCs w:val="20"/>
        </w:rPr>
        <w:t>1ml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BHT</w:t>
      </w:r>
      <w:proofErr w:type="spellEnd"/>
      <w:r w:rsidRPr="00682944">
        <w:rPr>
          <w:sz w:val="20"/>
          <w:szCs w:val="20"/>
        </w:rPr>
        <w:t xml:space="preserve"> a rozpustit v </w:t>
      </w:r>
      <w:proofErr w:type="spellStart"/>
      <w:r w:rsidRPr="00682944">
        <w:rPr>
          <w:sz w:val="20"/>
          <w:szCs w:val="20"/>
        </w:rPr>
        <w:t>10ml</w:t>
      </w:r>
      <w:proofErr w:type="spellEnd"/>
      <w:r w:rsidRPr="00682944">
        <w:rPr>
          <w:sz w:val="20"/>
          <w:szCs w:val="20"/>
        </w:rPr>
        <w:t xml:space="preserve"> 0,</w:t>
      </w:r>
      <w:proofErr w:type="spellStart"/>
      <w:r w:rsidRPr="00682944">
        <w:rPr>
          <w:sz w:val="20"/>
          <w:szCs w:val="20"/>
        </w:rPr>
        <w:t>6M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HCl</w:t>
      </w:r>
      <w:proofErr w:type="spellEnd"/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3) </w:t>
      </w:r>
      <w:proofErr w:type="spellStart"/>
      <w:r w:rsidRPr="00682944">
        <w:rPr>
          <w:sz w:val="20"/>
          <w:szCs w:val="20"/>
        </w:rPr>
        <w:t>HCl</w:t>
      </w:r>
      <w:proofErr w:type="spellEnd"/>
      <w:r w:rsidR="00FC2DC5">
        <w:rPr>
          <w:sz w:val="20"/>
          <w:szCs w:val="20"/>
        </w:rPr>
        <w:t xml:space="preserve"> </w:t>
      </w:r>
      <w:r w:rsidR="00FC2DC5" w:rsidRPr="00682944">
        <w:rPr>
          <w:sz w:val="20"/>
          <w:szCs w:val="20"/>
        </w:rPr>
        <w:t>0,</w:t>
      </w:r>
      <w:proofErr w:type="spellStart"/>
      <w:r w:rsidR="00FC2DC5" w:rsidRPr="00682944">
        <w:rPr>
          <w:sz w:val="20"/>
          <w:szCs w:val="20"/>
        </w:rPr>
        <w:t>6M</w:t>
      </w:r>
      <w:proofErr w:type="spellEnd"/>
      <w:r w:rsidRPr="00682944">
        <w:rPr>
          <w:sz w:val="20"/>
          <w:szCs w:val="20"/>
        </w:rPr>
        <w:t>: (</w:t>
      </w:r>
      <w:r w:rsidRPr="00682944">
        <w:rPr>
          <w:b/>
          <w:sz w:val="20"/>
          <w:szCs w:val="20"/>
        </w:rPr>
        <w:t>připrav</w:t>
      </w:r>
      <w:r>
        <w:rPr>
          <w:b/>
          <w:sz w:val="20"/>
          <w:szCs w:val="20"/>
        </w:rPr>
        <w:t>en</w:t>
      </w:r>
      <w:r w:rsidRPr="00682944">
        <w:rPr>
          <w:b/>
          <w:sz w:val="20"/>
          <w:szCs w:val="20"/>
        </w:rPr>
        <w:t xml:space="preserve"> předem</w:t>
      </w:r>
      <w:r w:rsidRPr="00682944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>302,</w:t>
      </w:r>
      <w:proofErr w:type="spellStart"/>
      <w:r w:rsidRPr="00682944">
        <w:rPr>
          <w:sz w:val="20"/>
          <w:szCs w:val="20"/>
        </w:rPr>
        <w:t>4mg</w:t>
      </w:r>
      <w:proofErr w:type="spellEnd"/>
      <w:r w:rsidRPr="00682944">
        <w:rPr>
          <w:sz w:val="20"/>
          <w:szCs w:val="20"/>
        </w:rPr>
        <w:t xml:space="preserve"> 35% </w:t>
      </w:r>
      <w:proofErr w:type="spellStart"/>
      <w:r w:rsidRPr="00682944">
        <w:rPr>
          <w:sz w:val="20"/>
          <w:szCs w:val="20"/>
        </w:rPr>
        <w:t>HCl</w:t>
      </w:r>
      <w:proofErr w:type="spellEnd"/>
      <w:r w:rsidRPr="00682944">
        <w:rPr>
          <w:sz w:val="20"/>
          <w:szCs w:val="20"/>
        </w:rPr>
        <w:t>/</w:t>
      </w:r>
      <w:proofErr w:type="spellStart"/>
      <w:r w:rsidRPr="00682944">
        <w:rPr>
          <w:sz w:val="20"/>
          <w:szCs w:val="20"/>
        </w:rPr>
        <w:t>14ml</w:t>
      </w:r>
      <w:proofErr w:type="spellEnd"/>
      <w:r w:rsidRPr="00682944">
        <w:rPr>
          <w:sz w:val="20"/>
          <w:szCs w:val="20"/>
        </w:rPr>
        <w:t xml:space="preserve"> destilované vody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4) </w:t>
      </w:r>
      <w:proofErr w:type="spellStart"/>
      <w:r w:rsidRPr="00682944">
        <w:rPr>
          <w:sz w:val="20"/>
          <w:szCs w:val="20"/>
        </w:rPr>
        <w:t>TRIS</w:t>
      </w:r>
      <w:proofErr w:type="spellEnd"/>
      <w:r w:rsidRPr="00682944">
        <w:rPr>
          <w:sz w:val="20"/>
          <w:szCs w:val="20"/>
        </w:rPr>
        <w:t>-</w:t>
      </w:r>
      <w:proofErr w:type="spellStart"/>
      <w:r w:rsidRPr="00682944">
        <w:rPr>
          <w:sz w:val="20"/>
          <w:szCs w:val="20"/>
        </w:rPr>
        <w:t>TBA</w:t>
      </w:r>
      <w:proofErr w:type="spellEnd"/>
      <w:r w:rsidRPr="00682944">
        <w:rPr>
          <w:sz w:val="20"/>
          <w:szCs w:val="20"/>
        </w:rPr>
        <w:t>: (</w:t>
      </w:r>
      <w:r w:rsidRPr="00682944">
        <w:rPr>
          <w:b/>
          <w:sz w:val="20"/>
          <w:szCs w:val="20"/>
        </w:rPr>
        <w:t>připrav</w:t>
      </w:r>
      <w:r>
        <w:rPr>
          <w:b/>
          <w:sz w:val="20"/>
          <w:szCs w:val="20"/>
        </w:rPr>
        <w:t>en</w:t>
      </w:r>
      <w:r w:rsidRPr="00682944">
        <w:rPr>
          <w:b/>
          <w:sz w:val="20"/>
          <w:szCs w:val="20"/>
        </w:rPr>
        <w:t xml:space="preserve"> předem</w:t>
      </w:r>
      <w:r w:rsidRPr="00682944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 xml:space="preserve">151,2 mg </w:t>
      </w:r>
      <w:proofErr w:type="spellStart"/>
      <w:r w:rsidRPr="00682944">
        <w:rPr>
          <w:sz w:val="20"/>
          <w:szCs w:val="20"/>
        </w:rPr>
        <w:t>TRIS</w:t>
      </w:r>
      <w:proofErr w:type="spellEnd"/>
      <w:r w:rsidRPr="00682944">
        <w:rPr>
          <w:sz w:val="20"/>
          <w:szCs w:val="20"/>
        </w:rPr>
        <w:t xml:space="preserve"> rozpustit v </w:t>
      </w:r>
      <w:proofErr w:type="spellStart"/>
      <w:r w:rsidRPr="00682944">
        <w:rPr>
          <w:sz w:val="20"/>
          <w:szCs w:val="20"/>
        </w:rPr>
        <w:t>30ml</w:t>
      </w:r>
      <w:proofErr w:type="spellEnd"/>
      <w:r w:rsidRPr="00682944">
        <w:rPr>
          <w:sz w:val="20"/>
          <w:szCs w:val="20"/>
        </w:rPr>
        <w:t xml:space="preserve"> destilované vody, poté přidat </w:t>
      </w:r>
      <w:proofErr w:type="spellStart"/>
      <w:r w:rsidRPr="00682944">
        <w:rPr>
          <w:sz w:val="20"/>
          <w:szCs w:val="20"/>
        </w:rPr>
        <w:t>720mg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TBA</w:t>
      </w:r>
      <w:proofErr w:type="spellEnd"/>
      <w:r w:rsidRPr="00682944">
        <w:rPr>
          <w:sz w:val="20"/>
          <w:szCs w:val="20"/>
        </w:rPr>
        <w:t xml:space="preserve">, k roztoku poté přidávat pevný </w:t>
      </w:r>
      <w:proofErr w:type="spellStart"/>
      <w:r w:rsidRPr="00682944">
        <w:rPr>
          <w:sz w:val="20"/>
          <w:szCs w:val="20"/>
        </w:rPr>
        <w:t>NaOH</w:t>
      </w:r>
      <w:proofErr w:type="spellEnd"/>
      <w:r w:rsidRPr="00682944">
        <w:rPr>
          <w:sz w:val="20"/>
          <w:szCs w:val="20"/>
        </w:rPr>
        <w:t xml:space="preserve"> do úplného rozpuštění </w:t>
      </w:r>
      <w:proofErr w:type="spellStart"/>
      <w:r w:rsidRPr="00682944">
        <w:rPr>
          <w:sz w:val="20"/>
          <w:szCs w:val="20"/>
        </w:rPr>
        <w:t>TBA</w:t>
      </w:r>
      <w:proofErr w:type="spellEnd"/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 xml:space="preserve">Upravit pH na 7,4 a doplnit destilovanou vodou na </w:t>
      </w:r>
      <w:proofErr w:type="spellStart"/>
      <w:r w:rsidRPr="00682944">
        <w:rPr>
          <w:sz w:val="20"/>
          <w:szCs w:val="20"/>
        </w:rPr>
        <w:t>50ml</w:t>
      </w:r>
      <w:proofErr w:type="spellEnd"/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5) Standart </w:t>
      </w:r>
      <w:proofErr w:type="spellStart"/>
      <w:r w:rsidRPr="00682944">
        <w:rPr>
          <w:sz w:val="20"/>
          <w:szCs w:val="20"/>
        </w:rPr>
        <w:t>MDA</w:t>
      </w:r>
      <w:proofErr w:type="spellEnd"/>
      <w:r w:rsidRPr="00682944">
        <w:rPr>
          <w:sz w:val="20"/>
          <w:szCs w:val="20"/>
        </w:rPr>
        <w:t>: (</w:t>
      </w:r>
      <w:r w:rsidRPr="00682944">
        <w:rPr>
          <w:b/>
          <w:sz w:val="20"/>
          <w:szCs w:val="20"/>
        </w:rPr>
        <w:t>připravován v den stanovení</w:t>
      </w:r>
      <w:r w:rsidRPr="00682944">
        <w:rPr>
          <w:sz w:val="20"/>
          <w:szCs w:val="20"/>
        </w:rPr>
        <w:t>)</w:t>
      </w:r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>11,02 mg 0,22% 1,1,3,3-</w:t>
      </w:r>
      <w:proofErr w:type="spellStart"/>
      <w:r w:rsidRPr="00682944">
        <w:rPr>
          <w:sz w:val="20"/>
          <w:szCs w:val="20"/>
        </w:rPr>
        <w:t>tetraethoxypropanu</w:t>
      </w:r>
      <w:proofErr w:type="spellEnd"/>
      <w:r w:rsidRPr="00682944">
        <w:rPr>
          <w:sz w:val="20"/>
          <w:szCs w:val="20"/>
        </w:rPr>
        <w:t xml:space="preserve"> rozpustit v </w:t>
      </w:r>
      <w:proofErr w:type="spellStart"/>
      <w:r w:rsidRPr="00682944">
        <w:rPr>
          <w:sz w:val="20"/>
          <w:szCs w:val="20"/>
        </w:rPr>
        <w:t>5ml</w:t>
      </w:r>
      <w:proofErr w:type="spellEnd"/>
      <w:r w:rsidRPr="00682944">
        <w:rPr>
          <w:sz w:val="20"/>
          <w:szCs w:val="20"/>
        </w:rPr>
        <w:t xml:space="preserve"> 1% </w:t>
      </w:r>
      <w:proofErr w:type="spellStart"/>
      <w:r w:rsidRPr="00682944">
        <w:rPr>
          <w:sz w:val="20"/>
          <w:szCs w:val="20"/>
        </w:rPr>
        <w:t>H2SO4</w:t>
      </w:r>
      <w:proofErr w:type="spellEnd"/>
      <w:r w:rsidRPr="00682944">
        <w:rPr>
          <w:sz w:val="20"/>
          <w:szCs w:val="20"/>
        </w:rPr>
        <w:t xml:space="preserve"> a </w:t>
      </w:r>
      <w:proofErr w:type="spellStart"/>
      <w:r w:rsidRPr="00682944">
        <w:rPr>
          <w:sz w:val="20"/>
          <w:szCs w:val="20"/>
        </w:rPr>
        <w:t>2hod</w:t>
      </w:r>
      <w:proofErr w:type="spellEnd"/>
      <w:r w:rsidRPr="00682944">
        <w:rPr>
          <w:sz w:val="20"/>
          <w:szCs w:val="20"/>
        </w:rPr>
        <w:t xml:space="preserve"> inkubovat při pokojo</w:t>
      </w:r>
      <w:r w:rsidR="009A5D3F">
        <w:rPr>
          <w:sz w:val="20"/>
          <w:szCs w:val="20"/>
        </w:rPr>
        <w:t xml:space="preserve">vé teplotě, poté </w:t>
      </w:r>
      <w:proofErr w:type="spellStart"/>
      <w:r w:rsidR="009A5D3F">
        <w:rPr>
          <w:sz w:val="20"/>
          <w:szCs w:val="20"/>
        </w:rPr>
        <w:t>vyředit</w:t>
      </w:r>
      <w:proofErr w:type="spellEnd"/>
      <w:r w:rsidR="009A5D3F">
        <w:rPr>
          <w:sz w:val="20"/>
          <w:szCs w:val="20"/>
        </w:rPr>
        <w:t xml:space="preserve"> na 100</w:t>
      </w:r>
      <w:r w:rsidR="009A5D3F" w:rsidRPr="009A5D3F">
        <w:rPr>
          <w:rFonts w:ascii="Symbol" w:hAnsi="Symbol"/>
          <w:sz w:val="20"/>
          <w:szCs w:val="20"/>
        </w:rPr>
        <w:t></w:t>
      </w:r>
      <w:r w:rsidRPr="00682944">
        <w:rPr>
          <w:sz w:val="20"/>
          <w:szCs w:val="20"/>
        </w:rPr>
        <w:t xml:space="preserve">M roztok </w:t>
      </w:r>
      <w:proofErr w:type="spellStart"/>
      <w:r w:rsidRPr="00682944">
        <w:rPr>
          <w:sz w:val="20"/>
          <w:szCs w:val="20"/>
        </w:rPr>
        <w:t>MDA</w:t>
      </w:r>
      <w:proofErr w:type="spellEnd"/>
      <w:r w:rsidRPr="00682944">
        <w:rPr>
          <w:sz w:val="20"/>
          <w:szCs w:val="20"/>
        </w:rPr>
        <w:t xml:space="preserve"> v 1% </w:t>
      </w:r>
      <w:proofErr w:type="spellStart"/>
      <w:r w:rsidRPr="00682944">
        <w:rPr>
          <w:sz w:val="20"/>
          <w:szCs w:val="20"/>
        </w:rPr>
        <w:t>H2SO4</w:t>
      </w:r>
      <w:proofErr w:type="spellEnd"/>
    </w:p>
    <w:p w:rsidR="00682944" w:rsidRPr="00682944" w:rsidRDefault="00682944" w:rsidP="00682944">
      <w:pPr>
        <w:pStyle w:val="Odstavecseseznamem"/>
        <w:ind w:left="1080"/>
        <w:rPr>
          <w:sz w:val="20"/>
          <w:szCs w:val="20"/>
        </w:rPr>
      </w:pPr>
      <w:r w:rsidRPr="00682944">
        <w:rPr>
          <w:sz w:val="20"/>
          <w:szCs w:val="20"/>
        </w:rPr>
        <w:t xml:space="preserve">6) </w:t>
      </w:r>
      <w:r w:rsidR="00E919E2">
        <w:rPr>
          <w:sz w:val="20"/>
          <w:szCs w:val="20"/>
        </w:rPr>
        <w:t>F</w:t>
      </w:r>
      <w:r w:rsidRPr="00682944">
        <w:rPr>
          <w:sz w:val="20"/>
          <w:szCs w:val="20"/>
        </w:rPr>
        <w:t xml:space="preserve">osfátový pufr </w:t>
      </w:r>
      <w:proofErr w:type="spellStart"/>
      <w:r w:rsidR="00C96ED3" w:rsidRPr="00682944">
        <w:rPr>
          <w:sz w:val="20"/>
          <w:szCs w:val="20"/>
        </w:rPr>
        <w:t>50mM</w:t>
      </w:r>
      <w:proofErr w:type="spellEnd"/>
      <w:r w:rsidR="00C96ED3" w:rsidRPr="00682944">
        <w:rPr>
          <w:sz w:val="20"/>
          <w:szCs w:val="20"/>
        </w:rPr>
        <w:t xml:space="preserve"> </w:t>
      </w:r>
      <w:r w:rsidRPr="00682944">
        <w:rPr>
          <w:sz w:val="20"/>
          <w:szCs w:val="20"/>
        </w:rPr>
        <w:t>(</w:t>
      </w:r>
      <w:proofErr w:type="spellStart"/>
      <w:r w:rsidRPr="00682944">
        <w:rPr>
          <w:sz w:val="20"/>
          <w:szCs w:val="20"/>
        </w:rPr>
        <w:t>MF</w:t>
      </w:r>
      <w:proofErr w:type="spellEnd"/>
      <w:r w:rsidRPr="00682944">
        <w:rPr>
          <w:sz w:val="20"/>
          <w:szCs w:val="20"/>
        </w:rPr>
        <w:t xml:space="preserve"> A): (</w:t>
      </w:r>
      <w:r w:rsidRPr="00682944">
        <w:rPr>
          <w:b/>
          <w:sz w:val="20"/>
          <w:szCs w:val="20"/>
        </w:rPr>
        <w:t>připrav</w:t>
      </w:r>
      <w:r>
        <w:rPr>
          <w:b/>
          <w:sz w:val="20"/>
          <w:szCs w:val="20"/>
        </w:rPr>
        <w:t>en</w:t>
      </w:r>
      <w:r w:rsidRPr="00682944">
        <w:rPr>
          <w:b/>
          <w:sz w:val="20"/>
          <w:szCs w:val="20"/>
        </w:rPr>
        <w:t xml:space="preserve"> předem</w:t>
      </w:r>
      <w:r w:rsidRPr="00682944">
        <w:rPr>
          <w:sz w:val="20"/>
          <w:szCs w:val="20"/>
        </w:rPr>
        <w:t>)</w:t>
      </w:r>
      <w:r>
        <w:rPr>
          <w:sz w:val="20"/>
          <w:szCs w:val="20"/>
        </w:rPr>
        <w:t xml:space="preserve">; </w:t>
      </w:r>
      <w:r w:rsidRPr="00682944">
        <w:rPr>
          <w:sz w:val="20"/>
          <w:szCs w:val="20"/>
        </w:rPr>
        <w:t>4,</w:t>
      </w:r>
      <w:proofErr w:type="spellStart"/>
      <w:r w:rsidRPr="00682944">
        <w:rPr>
          <w:sz w:val="20"/>
          <w:szCs w:val="20"/>
        </w:rPr>
        <w:t>355g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K2HPO4</w:t>
      </w:r>
      <w:proofErr w:type="spellEnd"/>
      <w:r w:rsidRPr="00682944">
        <w:rPr>
          <w:sz w:val="20"/>
          <w:szCs w:val="20"/>
        </w:rPr>
        <w:t xml:space="preserve"> (</w:t>
      </w:r>
      <w:proofErr w:type="spellStart"/>
      <w:r w:rsidRPr="00682944">
        <w:rPr>
          <w:sz w:val="20"/>
          <w:szCs w:val="20"/>
        </w:rPr>
        <w:t>Mr</w:t>
      </w:r>
      <w:proofErr w:type="spellEnd"/>
      <w:r w:rsidRPr="00682944">
        <w:rPr>
          <w:sz w:val="20"/>
          <w:szCs w:val="20"/>
        </w:rPr>
        <w:t xml:space="preserve"> 174,18 g/mol) rozpustit v </w:t>
      </w:r>
      <w:proofErr w:type="spellStart"/>
      <w:r w:rsidRPr="00682944">
        <w:rPr>
          <w:sz w:val="20"/>
          <w:szCs w:val="20"/>
        </w:rPr>
        <w:t>500ml</w:t>
      </w:r>
      <w:proofErr w:type="spellEnd"/>
      <w:r w:rsidRPr="00682944">
        <w:rPr>
          <w:sz w:val="20"/>
          <w:szCs w:val="20"/>
        </w:rPr>
        <w:t xml:space="preserve"> destilované vody a 1,</w:t>
      </w:r>
      <w:proofErr w:type="spellStart"/>
      <w:r w:rsidRPr="00682944">
        <w:rPr>
          <w:sz w:val="20"/>
          <w:szCs w:val="20"/>
        </w:rPr>
        <w:t>701g</w:t>
      </w:r>
      <w:proofErr w:type="spellEnd"/>
      <w:r w:rsidRPr="00682944">
        <w:rPr>
          <w:sz w:val="20"/>
          <w:szCs w:val="20"/>
        </w:rPr>
        <w:t xml:space="preserve"> </w:t>
      </w:r>
      <w:proofErr w:type="spellStart"/>
      <w:r w:rsidRPr="00682944">
        <w:rPr>
          <w:sz w:val="20"/>
          <w:szCs w:val="20"/>
        </w:rPr>
        <w:t>KH2PO4</w:t>
      </w:r>
      <w:proofErr w:type="spellEnd"/>
      <w:r w:rsidRPr="00682944">
        <w:rPr>
          <w:sz w:val="20"/>
          <w:szCs w:val="20"/>
        </w:rPr>
        <w:t xml:space="preserve"> (</w:t>
      </w:r>
      <w:proofErr w:type="spellStart"/>
      <w:r w:rsidRPr="00682944">
        <w:rPr>
          <w:sz w:val="20"/>
          <w:szCs w:val="20"/>
        </w:rPr>
        <w:t>Mr</w:t>
      </w:r>
      <w:proofErr w:type="spellEnd"/>
      <w:r w:rsidRPr="00682944">
        <w:rPr>
          <w:sz w:val="20"/>
          <w:szCs w:val="20"/>
        </w:rPr>
        <w:t xml:space="preserve"> 136,09 g/mol) rozpustit v </w:t>
      </w:r>
      <w:proofErr w:type="spellStart"/>
      <w:r w:rsidRPr="00682944">
        <w:rPr>
          <w:sz w:val="20"/>
          <w:szCs w:val="20"/>
        </w:rPr>
        <w:t>250ml</w:t>
      </w:r>
      <w:proofErr w:type="spellEnd"/>
      <w:r w:rsidRPr="00682944">
        <w:rPr>
          <w:sz w:val="20"/>
          <w:szCs w:val="20"/>
        </w:rPr>
        <w:t xml:space="preserve"> destilované vody. Oba roztoky postupně smíchat do výsledného </w:t>
      </w:r>
      <w:proofErr w:type="spellStart"/>
      <w:r w:rsidRPr="00682944">
        <w:rPr>
          <w:sz w:val="20"/>
          <w:szCs w:val="20"/>
        </w:rPr>
        <w:t>pH7</w:t>
      </w:r>
      <w:proofErr w:type="spellEnd"/>
      <w:r w:rsidRPr="00682944">
        <w:rPr>
          <w:sz w:val="20"/>
          <w:szCs w:val="20"/>
        </w:rPr>
        <w:t>.</w:t>
      </w:r>
    </w:p>
    <w:p w:rsidR="00682944" w:rsidRDefault="00682944" w:rsidP="00545068">
      <w:pPr>
        <w:pStyle w:val="Odstavecseseznamem"/>
        <w:ind w:left="1080"/>
        <w:rPr>
          <w:b/>
          <w:sz w:val="24"/>
          <w:szCs w:val="24"/>
        </w:rPr>
      </w:pPr>
    </w:p>
    <w:p w:rsidR="00682944" w:rsidRDefault="00682944" w:rsidP="00682944">
      <w:pPr>
        <w:pStyle w:val="Odstavecseseznamem"/>
        <w:ind w:left="0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>Postup</w:t>
      </w:r>
      <w:r w:rsidR="000E76D0">
        <w:rPr>
          <w:b/>
          <w:sz w:val="20"/>
          <w:szCs w:val="20"/>
        </w:rPr>
        <w:t xml:space="preserve"> extrakce</w:t>
      </w:r>
      <w:r w:rsidRPr="004A59FE">
        <w:rPr>
          <w:b/>
          <w:sz w:val="20"/>
          <w:szCs w:val="20"/>
        </w:rPr>
        <w:t>:</w:t>
      </w:r>
    </w:p>
    <w:p w:rsidR="00FC2DC5" w:rsidRDefault="00FC2DC5" w:rsidP="00682944">
      <w:pPr>
        <w:pStyle w:val="Odstavecseseznamem"/>
        <w:ind w:left="0"/>
        <w:rPr>
          <w:b/>
          <w:sz w:val="20"/>
          <w:szCs w:val="20"/>
        </w:rPr>
      </w:pPr>
    </w:p>
    <w:p w:rsidR="00FC2DC5" w:rsidRPr="00FC2DC5" w:rsidRDefault="000E76D0" w:rsidP="00FC2DC5">
      <w:pPr>
        <w:pStyle w:val="Odstavecseseznamem"/>
        <w:ind w:left="1080"/>
        <w:rPr>
          <w:sz w:val="20"/>
          <w:szCs w:val="20"/>
        </w:rPr>
      </w:pPr>
      <w:r>
        <w:rPr>
          <w:sz w:val="20"/>
          <w:szCs w:val="20"/>
        </w:rPr>
        <w:t>a) K</w:t>
      </w:r>
      <w:r w:rsidR="00FC2DC5" w:rsidRPr="00FC2DC5">
        <w:rPr>
          <w:sz w:val="20"/>
          <w:szCs w:val="20"/>
        </w:rPr>
        <w:t xml:space="preserve"> 100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 xml:space="preserve">L </w:t>
      </w:r>
      <w:r w:rsidR="00FC2DC5" w:rsidRPr="00FC2DC5">
        <w:rPr>
          <w:sz w:val="20"/>
          <w:szCs w:val="20"/>
        </w:rPr>
        <w:t xml:space="preserve"> </w:t>
      </w:r>
      <w:r w:rsidR="00FC2DC5" w:rsidRPr="000E76D0">
        <w:rPr>
          <w:b/>
          <w:sz w:val="20"/>
          <w:szCs w:val="20"/>
        </w:rPr>
        <w:t>necentrifugovaného</w:t>
      </w:r>
      <w:r w:rsidR="00FC2DC5">
        <w:rPr>
          <w:sz w:val="20"/>
          <w:szCs w:val="20"/>
        </w:rPr>
        <w:t xml:space="preserve">, dobře homogenizovaného </w:t>
      </w:r>
      <w:r w:rsidR="00FC2DC5" w:rsidRPr="00FC2DC5">
        <w:rPr>
          <w:sz w:val="20"/>
          <w:szCs w:val="20"/>
        </w:rPr>
        <w:t xml:space="preserve">vzorku </w:t>
      </w:r>
      <w:r w:rsidR="00E919E2">
        <w:rPr>
          <w:sz w:val="20"/>
          <w:szCs w:val="20"/>
        </w:rPr>
        <w:t xml:space="preserve">živočišné tkáně </w:t>
      </w:r>
      <w:r w:rsidR="00FC2DC5" w:rsidRPr="00FC2DC5">
        <w:rPr>
          <w:sz w:val="20"/>
          <w:szCs w:val="20"/>
        </w:rPr>
        <w:t xml:space="preserve">je přidáno 150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</w:t>
      </w:r>
      <w:proofErr w:type="spellStart"/>
      <w:r w:rsidR="00FC2DC5" w:rsidRPr="00FC2DC5">
        <w:rPr>
          <w:sz w:val="20"/>
          <w:szCs w:val="20"/>
        </w:rPr>
        <w:t>PBS</w:t>
      </w:r>
      <w:proofErr w:type="spellEnd"/>
      <w:r w:rsidR="00FC2DC5" w:rsidRPr="00FC2DC5">
        <w:rPr>
          <w:sz w:val="20"/>
          <w:szCs w:val="20"/>
        </w:rPr>
        <w:t xml:space="preserve">  a 75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20% </w:t>
      </w:r>
      <w:proofErr w:type="spellStart"/>
      <w:r w:rsidR="00FC2DC5" w:rsidRPr="00FC2DC5">
        <w:rPr>
          <w:sz w:val="20"/>
          <w:szCs w:val="20"/>
        </w:rPr>
        <w:t>TCA</w:t>
      </w:r>
      <w:proofErr w:type="spellEnd"/>
      <w:r>
        <w:rPr>
          <w:sz w:val="20"/>
          <w:szCs w:val="20"/>
        </w:rPr>
        <w:t xml:space="preserve"> (</w:t>
      </w:r>
      <w:r w:rsidRPr="000E76D0">
        <w:rPr>
          <w:b/>
          <w:sz w:val="20"/>
          <w:szCs w:val="20"/>
        </w:rPr>
        <w:t>precipitace proteinů</w:t>
      </w:r>
      <w:r>
        <w:rPr>
          <w:sz w:val="20"/>
          <w:szCs w:val="20"/>
        </w:rPr>
        <w:t>)</w:t>
      </w:r>
      <w:r w:rsidR="00FC2DC5" w:rsidRPr="00FC2DC5">
        <w:rPr>
          <w:sz w:val="20"/>
          <w:szCs w:val="20"/>
        </w:rPr>
        <w:t xml:space="preserve">. </w:t>
      </w:r>
      <w:r w:rsidR="00E919E2">
        <w:rPr>
          <w:sz w:val="20"/>
          <w:szCs w:val="20"/>
        </w:rPr>
        <w:t xml:space="preserve">Pokud analyzujeme rostlinnou tkáň, odebereme 250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E919E2">
        <w:rPr>
          <w:sz w:val="20"/>
          <w:szCs w:val="20"/>
        </w:rPr>
        <w:t xml:space="preserve"> </w:t>
      </w:r>
      <w:proofErr w:type="spellStart"/>
      <w:r w:rsidR="00E919E2">
        <w:rPr>
          <w:sz w:val="20"/>
          <w:szCs w:val="20"/>
        </w:rPr>
        <w:t>homogenátu</w:t>
      </w:r>
      <w:proofErr w:type="spellEnd"/>
      <w:r w:rsidR="00E919E2">
        <w:rPr>
          <w:sz w:val="20"/>
          <w:szCs w:val="20"/>
        </w:rPr>
        <w:t xml:space="preserve"> a přidáme 75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E919E2">
        <w:rPr>
          <w:sz w:val="20"/>
          <w:szCs w:val="20"/>
        </w:rPr>
        <w:t xml:space="preserve"> 20%</w:t>
      </w:r>
      <w:proofErr w:type="spellStart"/>
      <w:r w:rsidR="00E919E2">
        <w:rPr>
          <w:sz w:val="20"/>
          <w:szCs w:val="20"/>
        </w:rPr>
        <w:t>TCA</w:t>
      </w:r>
      <w:proofErr w:type="spellEnd"/>
      <w:r w:rsidR="00E919E2">
        <w:rPr>
          <w:sz w:val="20"/>
          <w:szCs w:val="20"/>
        </w:rPr>
        <w:t xml:space="preserve">.  </w:t>
      </w:r>
      <w:r w:rsidR="004F4AC8">
        <w:rPr>
          <w:sz w:val="20"/>
          <w:szCs w:val="20"/>
        </w:rPr>
        <w:t xml:space="preserve">V případě standardu, k 250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4F4AC8">
        <w:rPr>
          <w:sz w:val="20"/>
          <w:szCs w:val="20"/>
        </w:rPr>
        <w:t xml:space="preserve"> vzorku standardu je </w:t>
      </w:r>
      <w:r w:rsidR="00E919E2">
        <w:rPr>
          <w:sz w:val="20"/>
          <w:szCs w:val="20"/>
        </w:rPr>
        <w:t xml:space="preserve">také </w:t>
      </w:r>
      <w:r w:rsidR="004F4AC8">
        <w:rPr>
          <w:sz w:val="20"/>
          <w:szCs w:val="20"/>
        </w:rPr>
        <w:t xml:space="preserve">přidáno 75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4F4AC8">
        <w:rPr>
          <w:sz w:val="20"/>
          <w:szCs w:val="20"/>
        </w:rPr>
        <w:t xml:space="preserve"> 20% </w:t>
      </w:r>
      <w:proofErr w:type="spellStart"/>
      <w:r w:rsidR="004F4AC8">
        <w:rPr>
          <w:sz w:val="20"/>
          <w:szCs w:val="20"/>
        </w:rPr>
        <w:t>TCA</w:t>
      </w:r>
      <w:proofErr w:type="spellEnd"/>
      <w:r w:rsidR="004F4AC8">
        <w:rPr>
          <w:sz w:val="20"/>
          <w:szCs w:val="20"/>
        </w:rPr>
        <w:t xml:space="preserve">. </w:t>
      </w:r>
      <w:r w:rsidR="00FC2DC5" w:rsidRPr="00FC2DC5">
        <w:rPr>
          <w:sz w:val="20"/>
          <w:szCs w:val="20"/>
        </w:rPr>
        <w:t xml:space="preserve">Vzorek je promíchán na </w:t>
      </w:r>
      <w:proofErr w:type="spellStart"/>
      <w:r w:rsidR="00FC2DC5" w:rsidRPr="00FC2DC5">
        <w:rPr>
          <w:sz w:val="20"/>
          <w:szCs w:val="20"/>
        </w:rPr>
        <w:t>vortexu</w:t>
      </w:r>
      <w:proofErr w:type="spellEnd"/>
      <w:r w:rsidR="00FC2DC5" w:rsidRPr="00FC2DC5">
        <w:rPr>
          <w:sz w:val="20"/>
          <w:szCs w:val="20"/>
        </w:rPr>
        <w:t xml:space="preserve"> a 20 minut centrifugován při </w:t>
      </w:r>
      <w:proofErr w:type="spellStart"/>
      <w:r w:rsidR="00FC2DC5" w:rsidRPr="00FC2DC5">
        <w:rPr>
          <w:sz w:val="20"/>
          <w:szCs w:val="20"/>
        </w:rPr>
        <w:t>1500</w:t>
      </w:r>
      <w:r w:rsidR="000021BD">
        <w:rPr>
          <w:sz w:val="20"/>
          <w:szCs w:val="20"/>
        </w:rPr>
        <w:t>x</w:t>
      </w:r>
      <w:proofErr w:type="spellEnd"/>
      <w:r w:rsidR="00FC2DC5" w:rsidRPr="00FC2DC5">
        <w:rPr>
          <w:sz w:val="20"/>
          <w:szCs w:val="20"/>
        </w:rPr>
        <w:t xml:space="preserve"> g a 4°C. Zpracování vzorků i kalibrace se provádí v duplikátu</w:t>
      </w:r>
      <w:r>
        <w:rPr>
          <w:sz w:val="20"/>
          <w:szCs w:val="20"/>
        </w:rPr>
        <w:t xml:space="preserve"> (v rámci cvičení </w:t>
      </w:r>
      <w:r w:rsidRPr="000E76D0">
        <w:rPr>
          <w:b/>
          <w:sz w:val="20"/>
          <w:szCs w:val="20"/>
        </w:rPr>
        <w:t>duplikát být nemusí</w:t>
      </w:r>
      <w:r w:rsidR="007F3AC5">
        <w:rPr>
          <w:b/>
          <w:sz w:val="20"/>
          <w:szCs w:val="20"/>
        </w:rPr>
        <w:t xml:space="preserve"> a kalibrace se také neprovádí</w:t>
      </w:r>
      <w:r>
        <w:rPr>
          <w:sz w:val="20"/>
          <w:szCs w:val="20"/>
        </w:rPr>
        <w:t>)</w:t>
      </w:r>
      <w:r w:rsidR="00FC2DC5" w:rsidRPr="00FC2DC5">
        <w:rPr>
          <w:sz w:val="20"/>
          <w:szCs w:val="20"/>
        </w:rPr>
        <w:t>.</w:t>
      </w:r>
    </w:p>
    <w:p w:rsidR="00682944" w:rsidRPr="00FC2DC5" w:rsidRDefault="000E76D0" w:rsidP="00FC2DC5">
      <w:pPr>
        <w:pStyle w:val="Odstavecseseznamem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FC2DC5" w:rsidRPr="00FC2DC5">
        <w:rPr>
          <w:sz w:val="20"/>
          <w:szCs w:val="20"/>
        </w:rPr>
        <w:t xml:space="preserve">Do </w:t>
      </w:r>
      <w:proofErr w:type="spellStart"/>
      <w:r w:rsidR="00FC2DC5" w:rsidRPr="00FC2DC5">
        <w:rPr>
          <w:sz w:val="20"/>
          <w:szCs w:val="20"/>
        </w:rPr>
        <w:t>mikrozkumavky</w:t>
      </w:r>
      <w:proofErr w:type="spellEnd"/>
      <w:r w:rsidR="00FC2DC5" w:rsidRPr="00FC2DC5">
        <w:rPr>
          <w:sz w:val="20"/>
          <w:szCs w:val="20"/>
        </w:rPr>
        <w:t xml:space="preserve"> se pipetuje 250</w:t>
      </w:r>
      <w:r w:rsidR="009A5D3F" w:rsidRPr="009A5D3F">
        <w:rPr>
          <w:rFonts w:ascii="Symbol" w:hAnsi="Symbol"/>
          <w:sz w:val="20"/>
          <w:szCs w:val="20"/>
        </w:rPr>
        <w:t>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</w:t>
      </w:r>
      <w:proofErr w:type="spellStart"/>
      <w:r w:rsidR="00FC2DC5" w:rsidRPr="00FC2DC5">
        <w:rPr>
          <w:sz w:val="20"/>
          <w:szCs w:val="20"/>
        </w:rPr>
        <w:t>supernatantu</w:t>
      </w:r>
      <w:proofErr w:type="spellEnd"/>
      <w:r>
        <w:rPr>
          <w:sz w:val="20"/>
          <w:szCs w:val="20"/>
        </w:rPr>
        <w:t xml:space="preserve"> vzorku nebo standardu</w:t>
      </w:r>
      <w:r w:rsidR="00FC2DC5" w:rsidRPr="00FC2DC5">
        <w:rPr>
          <w:sz w:val="20"/>
          <w:szCs w:val="20"/>
        </w:rPr>
        <w:t>, 50</w:t>
      </w:r>
      <w:r w:rsidR="009A5D3F" w:rsidRPr="009A5D3F">
        <w:rPr>
          <w:rFonts w:ascii="Symbol" w:hAnsi="Symbol"/>
          <w:sz w:val="20"/>
          <w:szCs w:val="20"/>
        </w:rPr>
        <w:t>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</w:t>
      </w:r>
      <w:proofErr w:type="spellStart"/>
      <w:r w:rsidR="00FC2DC5" w:rsidRPr="00FC2DC5">
        <w:rPr>
          <w:sz w:val="20"/>
          <w:szCs w:val="20"/>
        </w:rPr>
        <w:t>HCl</w:t>
      </w:r>
      <w:proofErr w:type="spellEnd"/>
      <w:r w:rsidR="00FC2DC5" w:rsidRPr="00FC2DC5">
        <w:rPr>
          <w:sz w:val="20"/>
          <w:szCs w:val="20"/>
        </w:rPr>
        <w:t>-</w:t>
      </w:r>
      <w:proofErr w:type="spellStart"/>
      <w:r w:rsidR="00FC2DC5" w:rsidRPr="00FC2DC5">
        <w:rPr>
          <w:sz w:val="20"/>
          <w:szCs w:val="20"/>
        </w:rPr>
        <w:t>BHT</w:t>
      </w:r>
      <w:proofErr w:type="spellEnd"/>
      <w:r w:rsidR="00FC2DC5" w:rsidRPr="00FC2DC5">
        <w:rPr>
          <w:sz w:val="20"/>
          <w:szCs w:val="20"/>
        </w:rPr>
        <w:t xml:space="preserve"> a 200</w:t>
      </w:r>
      <w:r w:rsidR="009A5D3F" w:rsidRPr="009A5D3F">
        <w:rPr>
          <w:rFonts w:ascii="Symbol" w:hAnsi="Symbol"/>
          <w:sz w:val="20"/>
          <w:szCs w:val="20"/>
        </w:rPr>
        <w:t>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</w:t>
      </w:r>
      <w:proofErr w:type="spellStart"/>
      <w:r w:rsidR="00FC2DC5" w:rsidRPr="00FC2DC5">
        <w:rPr>
          <w:sz w:val="20"/>
          <w:szCs w:val="20"/>
        </w:rPr>
        <w:t>TRIS</w:t>
      </w:r>
      <w:proofErr w:type="spellEnd"/>
      <w:r w:rsidR="00FC2DC5" w:rsidRPr="00FC2DC5">
        <w:rPr>
          <w:sz w:val="20"/>
          <w:szCs w:val="20"/>
        </w:rPr>
        <w:t>-</w:t>
      </w:r>
      <w:proofErr w:type="spellStart"/>
      <w:r w:rsidR="00FC2DC5" w:rsidRPr="00FC2DC5">
        <w:rPr>
          <w:sz w:val="20"/>
          <w:szCs w:val="20"/>
        </w:rPr>
        <w:t>TBA</w:t>
      </w:r>
      <w:proofErr w:type="spellEnd"/>
      <w:r w:rsidR="00FC2DC5" w:rsidRPr="00FC2DC5">
        <w:rPr>
          <w:sz w:val="20"/>
          <w:szCs w:val="20"/>
        </w:rPr>
        <w:t xml:space="preserve"> a </w:t>
      </w:r>
      <w:r w:rsidR="00FC2DC5" w:rsidRPr="000E76D0">
        <w:rPr>
          <w:b/>
          <w:sz w:val="20"/>
          <w:szCs w:val="20"/>
        </w:rPr>
        <w:t>vaří se</w:t>
      </w:r>
      <w:r w:rsidR="00FC2DC5" w:rsidRPr="00FC2DC5">
        <w:rPr>
          <w:sz w:val="20"/>
          <w:szCs w:val="20"/>
        </w:rPr>
        <w:t xml:space="preserve"> 30</w:t>
      </w:r>
      <w:r w:rsidR="000021BD">
        <w:rPr>
          <w:sz w:val="20"/>
          <w:szCs w:val="20"/>
        </w:rPr>
        <w:t>-</w:t>
      </w:r>
      <w:proofErr w:type="spellStart"/>
      <w:r w:rsidR="000021BD">
        <w:rPr>
          <w:sz w:val="20"/>
          <w:szCs w:val="20"/>
        </w:rPr>
        <w:t>45</w:t>
      </w:r>
      <w:r w:rsidR="00FC2DC5" w:rsidRPr="00FC2DC5">
        <w:rPr>
          <w:sz w:val="20"/>
          <w:szCs w:val="20"/>
        </w:rPr>
        <w:t>minut</w:t>
      </w:r>
      <w:proofErr w:type="spellEnd"/>
      <w:r w:rsidR="00FC2DC5" w:rsidRPr="00FC2DC5">
        <w:rPr>
          <w:sz w:val="20"/>
          <w:szCs w:val="20"/>
        </w:rPr>
        <w:t xml:space="preserve"> na </w:t>
      </w:r>
      <w:proofErr w:type="spellStart"/>
      <w:r w:rsidR="00FC2DC5" w:rsidRPr="00FC2DC5">
        <w:rPr>
          <w:sz w:val="20"/>
          <w:szCs w:val="20"/>
        </w:rPr>
        <w:t>termobloku</w:t>
      </w:r>
      <w:proofErr w:type="spellEnd"/>
      <w:r w:rsidR="00FC2DC5" w:rsidRPr="00FC2DC5">
        <w:rPr>
          <w:sz w:val="20"/>
          <w:szCs w:val="20"/>
        </w:rPr>
        <w:t xml:space="preserve"> při 90 </w:t>
      </w:r>
      <w:r>
        <w:rPr>
          <w:sz w:val="20"/>
          <w:szCs w:val="20"/>
        </w:rPr>
        <w:t>°C</w:t>
      </w:r>
      <w:r w:rsidR="00FC2DC5" w:rsidRPr="00FC2DC5">
        <w:rPr>
          <w:sz w:val="20"/>
          <w:szCs w:val="20"/>
        </w:rPr>
        <w:t xml:space="preserve">. Po ochlazení </w:t>
      </w:r>
      <w:r w:rsidR="000021BD">
        <w:rPr>
          <w:sz w:val="20"/>
          <w:szCs w:val="20"/>
        </w:rPr>
        <w:t xml:space="preserve">(může být i prudké v ledové lázni) </w:t>
      </w:r>
      <w:r w:rsidR="00FC2DC5" w:rsidRPr="00FC2DC5">
        <w:rPr>
          <w:sz w:val="20"/>
          <w:szCs w:val="20"/>
        </w:rPr>
        <w:t>je k roztoku přidáno 200</w:t>
      </w:r>
      <w:r w:rsidR="009A5D3F" w:rsidRPr="009A5D3F">
        <w:rPr>
          <w:rFonts w:ascii="Symbol" w:hAnsi="Symbol"/>
          <w:sz w:val="20"/>
          <w:szCs w:val="20"/>
        </w:rPr>
        <w:t>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FC2DC5" w:rsidRPr="00FC2DC5">
        <w:rPr>
          <w:sz w:val="20"/>
          <w:szCs w:val="20"/>
        </w:rPr>
        <w:t xml:space="preserve"> butanolu a vzorek je promíchán, </w:t>
      </w:r>
      <w:proofErr w:type="spellStart"/>
      <w:r w:rsidR="00FC2DC5" w:rsidRPr="00FC2DC5">
        <w:rPr>
          <w:sz w:val="20"/>
          <w:szCs w:val="20"/>
        </w:rPr>
        <w:t>vortexován</w:t>
      </w:r>
      <w:proofErr w:type="spellEnd"/>
      <w:r w:rsidR="00FC2DC5" w:rsidRPr="00FC2DC5">
        <w:rPr>
          <w:sz w:val="20"/>
          <w:szCs w:val="20"/>
        </w:rPr>
        <w:t xml:space="preserve"> a následně centrifugován 10 minut při </w:t>
      </w:r>
      <w:proofErr w:type="spellStart"/>
      <w:r w:rsidR="00FC2DC5" w:rsidRPr="00FC2DC5">
        <w:rPr>
          <w:sz w:val="20"/>
          <w:szCs w:val="20"/>
        </w:rPr>
        <w:t>1500</w:t>
      </w:r>
      <w:r w:rsidR="000021BD">
        <w:rPr>
          <w:sz w:val="20"/>
          <w:szCs w:val="20"/>
        </w:rPr>
        <w:t>x</w:t>
      </w:r>
      <w:proofErr w:type="spellEnd"/>
      <w:r w:rsidR="00FC2DC5" w:rsidRPr="00FC2DC5">
        <w:rPr>
          <w:sz w:val="20"/>
          <w:szCs w:val="20"/>
        </w:rPr>
        <w:t xml:space="preserve"> g a 4°C. Vrchní butanolová nafialověle zbarvená vrstva</w:t>
      </w:r>
      <w:r w:rsidR="000021BD">
        <w:rPr>
          <w:sz w:val="20"/>
          <w:szCs w:val="20"/>
        </w:rPr>
        <w:t xml:space="preserve"> bez zbytků vodného roztoku -</w:t>
      </w:r>
      <w:r w:rsidR="00FC2DC5" w:rsidRPr="00FC2DC5">
        <w:rPr>
          <w:sz w:val="20"/>
          <w:szCs w:val="20"/>
        </w:rPr>
        <w:t xml:space="preserve"> cca </w:t>
      </w:r>
      <w:r w:rsidR="000021BD">
        <w:rPr>
          <w:sz w:val="20"/>
          <w:szCs w:val="20"/>
        </w:rPr>
        <w:t>80</w:t>
      </w:r>
      <w:r w:rsidR="00FC2DC5" w:rsidRPr="00FC2DC5">
        <w:rPr>
          <w:sz w:val="20"/>
          <w:szCs w:val="20"/>
        </w:rPr>
        <w:t>-150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0021BD">
        <w:rPr>
          <w:sz w:val="20"/>
          <w:szCs w:val="20"/>
        </w:rPr>
        <w:t>-</w:t>
      </w:r>
      <w:r w:rsidR="00FC2DC5" w:rsidRPr="00FC2DC5">
        <w:rPr>
          <w:sz w:val="20"/>
          <w:szCs w:val="20"/>
        </w:rPr>
        <w:t xml:space="preserve"> je přenesena do </w:t>
      </w:r>
      <w:r>
        <w:rPr>
          <w:sz w:val="20"/>
          <w:szCs w:val="20"/>
        </w:rPr>
        <w:t xml:space="preserve">skleněného </w:t>
      </w:r>
      <w:r w:rsidR="00FC2DC5" w:rsidRPr="00FC2DC5">
        <w:rPr>
          <w:sz w:val="20"/>
          <w:szCs w:val="20"/>
        </w:rPr>
        <w:t xml:space="preserve">inzertu a </w:t>
      </w:r>
      <w:r w:rsidR="000021BD">
        <w:rPr>
          <w:sz w:val="20"/>
          <w:szCs w:val="20"/>
        </w:rPr>
        <w:t xml:space="preserve">buď následně analyzována nebo </w:t>
      </w:r>
      <w:r w:rsidR="00FC2DC5" w:rsidRPr="00FC2DC5">
        <w:rPr>
          <w:sz w:val="20"/>
          <w:szCs w:val="20"/>
        </w:rPr>
        <w:t xml:space="preserve">zmražena při -18°C k analýze </w:t>
      </w:r>
      <w:proofErr w:type="spellStart"/>
      <w:r w:rsidR="00FC2DC5" w:rsidRPr="00FC2DC5">
        <w:rPr>
          <w:sz w:val="20"/>
          <w:szCs w:val="20"/>
        </w:rPr>
        <w:t>LC</w:t>
      </w:r>
      <w:proofErr w:type="spellEnd"/>
      <w:r w:rsidR="00FC2DC5" w:rsidRPr="00FC2DC5">
        <w:rPr>
          <w:sz w:val="20"/>
          <w:szCs w:val="20"/>
        </w:rPr>
        <w:t>/</w:t>
      </w:r>
      <w:proofErr w:type="spellStart"/>
      <w:r w:rsidR="00FC2DC5" w:rsidRPr="00FC2DC5">
        <w:rPr>
          <w:sz w:val="20"/>
          <w:szCs w:val="20"/>
        </w:rPr>
        <w:t>DAD</w:t>
      </w:r>
      <w:proofErr w:type="spellEnd"/>
      <w:r>
        <w:rPr>
          <w:sz w:val="20"/>
          <w:szCs w:val="20"/>
        </w:rPr>
        <w:t xml:space="preserve"> (v rámci cvičení se </w:t>
      </w:r>
      <w:r w:rsidRPr="000E76D0">
        <w:rPr>
          <w:b/>
          <w:sz w:val="20"/>
          <w:szCs w:val="20"/>
        </w:rPr>
        <w:t>měří ihned</w:t>
      </w:r>
      <w:r>
        <w:rPr>
          <w:sz w:val="20"/>
          <w:szCs w:val="20"/>
        </w:rPr>
        <w:t>)</w:t>
      </w:r>
      <w:r w:rsidR="00FC2DC5" w:rsidRPr="00FC2DC5">
        <w:rPr>
          <w:sz w:val="20"/>
          <w:szCs w:val="20"/>
        </w:rPr>
        <w:t>.</w:t>
      </w:r>
    </w:p>
    <w:p w:rsidR="00545068" w:rsidRP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</w:p>
    <w:p w:rsidR="00545068" w:rsidRPr="00545068" w:rsidRDefault="00545068" w:rsidP="00545068">
      <w:pPr>
        <w:pStyle w:val="Odstavecseseznamem"/>
        <w:ind w:left="708"/>
        <w:jc w:val="both"/>
        <w:rPr>
          <w:sz w:val="20"/>
          <w:szCs w:val="20"/>
        </w:rPr>
      </w:pPr>
    </w:p>
    <w:p w:rsidR="00F45F12" w:rsidRDefault="00F45F12" w:rsidP="000E76D0">
      <w:pPr>
        <w:pStyle w:val="Odstavecseseznamem"/>
        <w:ind w:left="0"/>
        <w:rPr>
          <w:b/>
          <w:sz w:val="20"/>
          <w:szCs w:val="20"/>
        </w:rPr>
      </w:pPr>
    </w:p>
    <w:p w:rsidR="000E76D0" w:rsidRDefault="000E76D0" w:rsidP="000E76D0">
      <w:pPr>
        <w:pStyle w:val="Odstavecseseznamem"/>
        <w:ind w:left="0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lastRenderedPageBreak/>
        <w:t>Postup</w:t>
      </w:r>
      <w:r>
        <w:rPr>
          <w:b/>
          <w:sz w:val="20"/>
          <w:szCs w:val="20"/>
        </w:rPr>
        <w:t xml:space="preserve"> analýzy</w:t>
      </w:r>
      <w:r w:rsidRPr="004A59FE">
        <w:rPr>
          <w:b/>
          <w:sz w:val="20"/>
          <w:szCs w:val="20"/>
        </w:rPr>
        <w:t>:</w:t>
      </w:r>
    </w:p>
    <w:p w:rsidR="000E76D0" w:rsidRDefault="001A3BAA" w:rsidP="0006101E">
      <w:pPr>
        <w:ind w:left="709"/>
        <w:jc w:val="both"/>
        <w:rPr>
          <w:sz w:val="20"/>
          <w:szCs w:val="20"/>
        </w:rPr>
      </w:pPr>
      <w:r w:rsidRPr="001A3BAA">
        <w:rPr>
          <w:sz w:val="20"/>
          <w:szCs w:val="20"/>
        </w:rPr>
        <w:t xml:space="preserve">Analýza obsahu </w:t>
      </w:r>
      <w:proofErr w:type="spellStart"/>
      <w:r w:rsidRPr="001A3BAA">
        <w:rPr>
          <w:sz w:val="20"/>
          <w:szCs w:val="20"/>
        </w:rPr>
        <w:t>MDA</w:t>
      </w:r>
      <w:proofErr w:type="spellEnd"/>
      <w:r w:rsidRPr="001A3BAA">
        <w:rPr>
          <w:sz w:val="20"/>
          <w:szCs w:val="20"/>
        </w:rPr>
        <w:t xml:space="preserve"> - </w:t>
      </w:r>
      <w:proofErr w:type="spellStart"/>
      <w:r w:rsidRPr="001A3BAA">
        <w:rPr>
          <w:sz w:val="20"/>
          <w:szCs w:val="20"/>
        </w:rPr>
        <w:t>TBARS</w:t>
      </w:r>
      <w:proofErr w:type="spellEnd"/>
      <w:r w:rsidRPr="001A3BAA">
        <w:rPr>
          <w:sz w:val="20"/>
          <w:szCs w:val="20"/>
        </w:rPr>
        <w:t xml:space="preserve"> ve vzorcích tkáně je provedena s využitím kapalinového </w:t>
      </w:r>
      <w:proofErr w:type="spellStart"/>
      <w:r w:rsidRPr="001A3BAA">
        <w:rPr>
          <w:sz w:val="20"/>
          <w:szCs w:val="20"/>
        </w:rPr>
        <w:t>chromatografu</w:t>
      </w:r>
      <w:proofErr w:type="spellEnd"/>
      <w:r w:rsidRPr="001A3BAA">
        <w:rPr>
          <w:sz w:val="20"/>
          <w:szCs w:val="20"/>
        </w:rPr>
        <w:t xml:space="preserve"> </w:t>
      </w:r>
      <w:proofErr w:type="spellStart"/>
      <w:r w:rsidRPr="001A3BAA">
        <w:rPr>
          <w:sz w:val="20"/>
          <w:szCs w:val="20"/>
        </w:rPr>
        <w:t>Agilent</w:t>
      </w:r>
      <w:proofErr w:type="spellEnd"/>
      <w:r w:rsidRPr="001A3BAA">
        <w:rPr>
          <w:sz w:val="20"/>
          <w:szCs w:val="20"/>
        </w:rPr>
        <w:t xml:space="preserve"> 1100 </w:t>
      </w:r>
      <w:proofErr w:type="spellStart"/>
      <w:r w:rsidRPr="001A3BAA">
        <w:rPr>
          <w:sz w:val="20"/>
          <w:szCs w:val="20"/>
        </w:rPr>
        <w:t>Series</w:t>
      </w:r>
      <w:proofErr w:type="spellEnd"/>
      <w:r w:rsidRPr="001A3BAA">
        <w:rPr>
          <w:sz w:val="20"/>
          <w:szCs w:val="20"/>
        </w:rPr>
        <w:t xml:space="preserve">. Separace </w:t>
      </w:r>
      <w:proofErr w:type="spellStart"/>
      <w:r w:rsidRPr="001A3BAA">
        <w:rPr>
          <w:sz w:val="20"/>
          <w:szCs w:val="20"/>
        </w:rPr>
        <w:t>analytu</w:t>
      </w:r>
      <w:proofErr w:type="spellEnd"/>
      <w:r w:rsidRPr="001A3BAA">
        <w:rPr>
          <w:sz w:val="20"/>
          <w:szCs w:val="20"/>
        </w:rPr>
        <w:t xml:space="preserve"> probíhá na koloně </w:t>
      </w:r>
      <w:proofErr w:type="spellStart"/>
      <w:r w:rsidRPr="001A3BAA">
        <w:rPr>
          <w:sz w:val="20"/>
          <w:szCs w:val="20"/>
        </w:rPr>
        <w:t>Supelcosil</w:t>
      </w:r>
      <w:proofErr w:type="spellEnd"/>
      <w:r w:rsidRPr="001A3BAA">
        <w:rPr>
          <w:sz w:val="20"/>
          <w:szCs w:val="20"/>
        </w:rPr>
        <w:t xml:space="preserve"> </w:t>
      </w:r>
      <w:proofErr w:type="spellStart"/>
      <w:r w:rsidRPr="001A3BAA">
        <w:rPr>
          <w:sz w:val="20"/>
          <w:szCs w:val="20"/>
        </w:rPr>
        <w:t>ABZ</w:t>
      </w:r>
      <w:proofErr w:type="spellEnd"/>
      <w:r w:rsidRPr="001A3BAA">
        <w:rPr>
          <w:sz w:val="20"/>
          <w:szCs w:val="20"/>
        </w:rPr>
        <w:t xml:space="preserve">+ </w:t>
      </w:r>
      <w:r w:rsidR="00C96ED3">
        <w:rPr>
          <w:sz w:val="20"/>
          <w:szCs w:val="20"/>
        </w:rPr>
        <w:t>(</w:t>
      </w:r>
      <w:r w:rsidRPr="001A3BAA">
        <w:rPr>
          <w:sz w:val="20"/>
          <w:szCs w:val="20"/>
        </w:rPr>
        <w:t xml:space="preserve">(5 </w:t>
      </w:r>
      <w:r w:rsidR="009A5D3F" w:rsidRPr="009A5D3F">
        <w:rPr>
          <w:rFonts w:ascii="Symbol" w:hAnsi="Symbol"/>
          <w:sz w:val="20"/>
          <w:szCs w:val="20"/>
        </w:rPr>
        <w:t></w:t>
      </w:r>
      <w:r w:rsidRPr="001A3BAA">
        <w:rPr>
          <w:sz w:val="20"/>
          <w:szCs w:val="20"/>
        </w:rPr>
        <w:t xml:space="preserve">m), </w:t>
      </w:r>
      <w:proofErr w:type="spellStart"/>
      <w:r w:rsidRPr="001A3BAA">
        <w:rPr>
          <w:sz w:val="20"/>
          <w:szCs w:val="20"/>
        </w:rPr>
        <w:t>250x4</w:t>
      </w:r>
      <w:proofErr w:type="spellEnd"/>
      <w:r w:rsidRPr="001A3BAA">
        <w:rPr>
          <w:sz w:val="20"/>
          <w:szCs w:val="20"/>
        </w:rPr>
        <w:t xml:space="preserve">,6 mm, stacionární fáze </w:t>
      </w:r>
      <w:proofErr w:type="spellStart"/>
      <w:r w:rsidRPr="001A3BAA">
        <w:rPr>
          <w:sz w:val="20"/>
          <w:szCs w:val="20"/>
        </w:rPr>
        <w:t>C18</w:t>
      </w:r>
      <w:proofErr w:type="spellEnd"/>
      <w:r w:rsidR="00C96ED3">
        <w:rPr>
          <w:sz w:val="20"/>
          <w:szCs w:val="20"/>
        </w:rPr>
        <w:t>)</w:t>
      </w:r>
      <w:r w:rsidRPr="001A3BAA">
        <w:rPr>
          <w:sz w:val="20"/>
          <w:szCs w:val="20"/>
        </w:rPr>
        <w:t xml:space="preserve"> pomocí mobilní fáze: A (50 </w:t>
      </w:r>
      <w:proofErr w:type="spellStart"/>
      <w:r w:rsidRPr="001A3BAA">
        <w:rPr>
          <w:sz w:val="20"/>
          <w:szCs w:val="20"/>
        </w:rPr>
        <w:t>mM</w:t>
      </w:r>
      <w:proofErr w:type="spellEnd"/>
      <w:r w:rsidRPr="001A3BAA">
        <w:rPr>
          <w:sz w:val="20"/>
          <w:szCs w:val="20"/>
        </w:rPr>
        <w:t xml:space="preserve"> fosfátový pufr, pH 7) a mobilní fáze B (</w:t>
      </w:r>
      <w:proofErr w:type="spellStart"/>
      <w:r w:rsidRPr="001A3BAA">
        <w:rPr>
          <w:sz w:val="20"/>
          <w:szCs w:val="20"/>
        </w:rPr>
        <w:t>methanol</w:t>
      </w:r>
      <w:proofErr w:type="spellEnd"/>
      <w:r w:rsidRPr="001A3BAA">
        <w:rPr>
          <w:sz w:val="20"/>
          <w:szCs w:val="20"/>
        </w:rPr>
        <w:t xml:space="preserve">) </w:t>
      </w:r>
      <w:proofErr w:type="spellStart"/>
      <w:r w:rsidRPr="001A3BAA">
        <w:rPr>
          <w:sz w:val="20"/>
          <w:szCs w:val="20"/>
        </w:rPr>
        <w:t>isokratickou</w:t>
      </w:r>
      <w:proofErr w:type="spellEnd"/>
      <w:r w:rsidRPr="001A3BAA">
        <w:rPr>
          <w:sz w:val="20"/>
          <w:szCs w:val="20"/>
        </w:rPr>
        <w:t xml:space="preserve"> elucí (25% složky B). Průtok 1 ml/min, teplota 30°C. Pro analýzu je nastřikováno 40 </w:t>
      </w:r>
      <w:r w:rsidR="009A5D3F" w:rsidRPr="009A5D3F">
        <w:rPr>
          <w:rFonts w:ascii="Symbol" w:hAnsi="Symbol"/>
          <w:sz w:val="20"/>
          <w:szCs w:val="20"/>
        </w:rPr>
        <w:t></w:t>
      </w:r>
      <w:r w:rsidR="009A5D3F">
        <w:rPr>
          <w:sz w:val="20"/>
          <w:szCs w:val="20"/>
        </w:rPr>
        <w:t>L</w:t>
      </w:r>
      <w:r w:rsidR="009A5D3F" w:rsidRPr="001A3BAA">
        <w:rPr>
          <w:sz w:val="20"/>
          <w:szCs w:val="20"/>
        </w:rPr>
        <w:t xml:space="preserve"> </w:t>
      </w:r>
      <w:r w:rsidRPr="001A3BAA">
        <w:rPr>
          <w:sz w:val="20"/>
          <w:szCs w:val="20"/>
        </w:rPr>
        <w:t>vzorku, blanku, standardu v butanolu z</w:t>
      </w:r>
      <w:r>
        <w:rPr>
          <w:sz w:val="20"/>
          <w:szCs w:val="20"/>
        </w:rPr>
        <w:t>e skleněného</w:t>
      </w:r>
      <w:r w:rsidRPr="001A3BAA">
        <w:rPr>
          <w:sz w:val="20"/>
          <w:szCs w:val="20"/>
        </w:rPr>
        <w:t xml:space="preserve"> insertu</w:t>
      </w:r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vialce</w:t>
      </w:r>
      <w:proofErr w:type="spellEnd"/>
      <w:r w:rsidRPr="001A3BAA">
        <w:rPr>
          <w:sz w:val="20"/>
          <w:szCs w:val="20"/>
        </w:rPr>
        <w:t xml:space="preserve">. </w:t>
      </w:r>
      <w:proofErr w:type="spellStart"/>
      <w:r w:rsidRPr="001A3BAA">
        <w:rPr>
          <w:sz w:val="20"/>
          <w:szCs w:val="20"/>
        </w:rPr>
        <w:t>Konjugát</w:t>
      </w:r>
      <w:proofErr w:type="spellEnd"/>
      <w:r w:rsidRPr="001A3BAA">
        <w:rPr>
          <w:sz w:val="20"/>
          <w:szCs w:val="20"/>
        </w:rPr>
        <w:t xml:space="preserve"> </w:t>
      </w:r>
      <w:proofErr w:type="spellStart"/>
      <w:r w:rsidRPr="001A3BAA">
        <w:rPr>
          <w:sz w:val="20"/>
          <w:szCs w:val="20"/>
        </w:rPr>
        <w:t>MDA</w:t>
      </w:r>
      <w:proofErr w:type="spellEnd"/>
      <w:r w:rsidRPr="001A3BAA">
        <w:rPr>
          <w:sz w:val="20"/>
          <w:szCs w:val="20"/>
        </w:rPr>
        <w:t>-</w:t>
      </w:r>
      <w:proofErr w:type="spellStart"/>
      <w:r w:rsidRPr="001A3BAA">
        <w:rPr>
          <w:sz w:val="20"/>
          <w:szCs w:val="20"/>
        </w:rPr>
        <w:t>TBARS</w:t>
      </w:r>
      <w:proofErr w:type="spellEnd"/>
      <w:r w:rsidRPr="001A3BAA">
        <w:rPr>
          <w:sz w:val="20"/>
          <w:szCs w:val="20"/>
        </w:rPr>
        <w:t xml:space="preserve"> je detekován pomocí </w:t>
      </w:r>
      <w:r w:rsidR="00C96ED3">
        <w:rPr>
          <w:sz w:val="20"/>
          <w:szCs w:val="20"/>
        </w:rPr>
        <w:t xml:space="preserve">detektoru </w:t>
      </w:r>
      <w:proofErr w:type="spellStart"/>
      <w:r w:rsidRPr="001A3BAA">
        <w:rPr>
          <w:sz w:val="20"/>
          <w:szCs w:val="20"/>
        </w:rPr>
        <w:t>DAD</w:t>
      </w:r>
      <w:proofErr w:type="spellEnd"/>
      <w:r w:rsidR="00C96ED3">
        <w:rPr>
          <w:sz w:val="20"/>
          <w:szCs w:val="20"/>
        </w:rPr>
        <w:t xml:space="preserve">, sledujeme absorbanci v intervalu </w:t>
      </w:r>
      <w:r w:rsidRPr="001A3BAA">
        <w:rPr>
          <w:sz w:val="20"/>
          <w:szCs w:val="20"/>
        </w:rPr>
        <w:t xml:space="preserve">400-600 </w:t>
      </w:r>
      <w:proofErr w:type="spellStart"/>
      <w:r w:rsidRPr="001A3BAA">
        <w:rPr>
          <w:sz w:val="20"/>
          <w:szCs w:val="20"/>
        </w:rPr>
        <w:t>nm</w:t>
      </w:r>
      <w:proofErr w:type="spellEnd"/>
      <w:r w:rsidRPr="001A3BAA">
        <w:rPr>
          <w:sz w:val="20"/>
          <w:szCs w:val="20"/>
        </w:rPr>
        <w:t xml:space="preserve"> a vyhodnocování chromatogramu </w:t>
      </w:r>
      <w:r>
        <w:rPr>
          <w:sz w:val="20"/>
          <w:szCs w:val="20"/>
        </w:rPr>
        <w:t>se</w:t>
      </w:r>
      <w:r w:rsidRPr="001A3BAA">
        <w:rPr>
          <w:sz w:val="20"/>
          <w:szCs w:val="20"/>
        </w:rPr>
        <w:t xml:space="preserve"> prov</w:t>
      </w:r>
      <w:r>
        <w:rPr>
          <w:sz w:val="20"/>
          <w:szCs w:val="20"/>
        </w:rPr>
        <w:t>ádí</w:t>
      </w:r>
      <w:r w:rsidRPr="001A3BAA">
        <w:rPr>
          <w:sz w:val="20"/>
          <w:szCs w:val="20"/>
        </w:rPr>
        <w:t xml:space="preserve"> při 532 </w:t>
      </w:r>
      <w:proofErr w:type="spellStart"/>
      <w:r w:rsidRPr="001A3BAA">
        <w:rPr>
          <w:sz w:val="20"/>
          <w:szCs w:val="20"/>
        </w:rPr>
        <w:t>nm</w:t>
      </w:r>
      <w:proofErr w:type="spellEnd"/>
      <w:r w:rsidRPr="001A3BAA">
        <w:rPr>
          <w:sz w:val="20"/>
          <w:szCs w:val="20"/>
        </w:rPr>
        <w:t xml:space="preserve"> (</w:t>
      </w:r>
      <w:proofErr w:type="spellStart"/>
      <w:r w:rsidRPr="001A3BAA">
        <w:rPr>
          <w:sz w:val="20"/>
          <w:szCs w:val="20"/>
        </w:rPr>
        <w:t>SW</w:t>
      </w:r>
      <w:proofErr w:type="spellEnd"/>
      <w:r w:rsidRPr="001A3BAA">
        <w:rPr>
          <w:sz w:val="20"/>
          <w:szCs w:val="20"/>
        </w:rPr>
        <w:t xml:space="preserve"> HP </w:t>
      </w:r>
      <w:proofErr w:type="spellStart"/>
      <w:r w:rsidRPr="001A3BAA">
        <w:rPr>
          <w:sz w:val="20"/>
          <w:szCs w:val="20"/>
        </w:rPr>
        <w:t>Agilent</w:t>
      </w:r>
      <w:proofErr w:type="spellEnd"/>
      <w:r w:rsidRPr="001A3BAA">
        <w:rPr>
          <w:sz w:val="20"/>
          <w:szCs w:val="20"/>
        </w:rPr>
        <w:t xml:space="preserve"> </w:t>
      </w:r>
      <w:proofErr w:type="spellStart"/>
      <w:r w:rsidRPr="001A3BAA">
        <w:rPr>
          <w:sz w:val="20"/>
          <w:szCs w:val="20"/>
        </w:rPr>
        <w:t>Chemstation</w:t>
      </w:r>
      <w:proofErr w:type="spellEnd"/>
      <w:r w:rsidRPr="001A3BAA">
        <w:rPr>
          <w:sz w:val="20"/>
          <w:szCs w:val="20"/>
        </w:rPr>
        <w:t xml:space="preserve"> 1100), retenční čas sledovaného </w:t>
      </w:r>
      <w:proofErr w:type="spellStart"/>
      <w:r w:rsidRPr="001A3BAA">
        <w:rPr>
          <w:sz w:val="20"/>
          <w:szCs w:val="20"/>
        </w:rPr>
        <w:t>analytu</w:t>
      </w:r>
      <w:proofErr w:type="spellEnd"/>
      <w:r w:rsidRPr="001A3BAA">
        <w:rPr>
          <w:sz w:val="20"/>
          <w:szCs w:val="20"/>
        </w:rPr>
        <w:t xml:space="preserve"> je </w:t>
      </w:r>
      <w:r>
        <w:rPr>
          <w:sz w:val="20"/>
          <w:szCs w:val="20"/>
        </w:rPr>
        <w:t xml:space="preserve">cca </w:t>
      </w:r>
      <w:r w:rsidRPr="001A3BAA">
        <w:rPr>
          <w:sz w:val="20"/>
          <w:szCs w:val="20"/>
        </w:rPr>
        <w:t>2.</w:t>
      </w:r>
      <w:r w:rsidR="009A5D3F">
        <w:rPr>
          <w:sz w:val="20"/>
          <w:szCs w:val="20"/>
        </w:rPr>
        <w:t>6</w:t>
      </w:r>
      <w:r w:rsidRPr="001A3BAA">
        <w:rPr>
          <w:sz w:val="20"/>
          <w:szCs w:val="20"/>
        </w:rPr>
        <w:t xml:space="preserve"> min</w:t>
      </w:r>
      <w:r w:rsidR="00C96ED3">
        <w:rPr>
          <w:sz w:val="20"/>
          <w:szCs w:val="20"/>
        </w:rPr>
        <w:t>uty</w:t>
      </w:r>
      <w:r w:rsidRPr="001A3BAA">
        <w:rPr>
          <w:sz w:val="20"/>
          <w:szCs w:val="20"/>
        </w:rPr>
        <w:t xml:space="preserve">. Koncentrace </w:t>
      </w:r>
      <w:proofErr w:type="spellStart"/>
      <w:r w:rsidRPr="001A3BAA">
        <w:rPr>
          <w:sz w:val="20"/>
          <w:szCs w:val="20"/>
        </w:rPr>
        <w:t>analytu</w:t>
      </w:r>
      <w:proofErr w:type="spellEnd"/>
      <w:r w:rsidRPr="001A3BAA">
        <w:rPr>
          <w:sz w:val="20"/>
          <w:szCs w:val="20"/>
        </w:rPr>
        <w:t xml:space="preserve"> ve vzorku se vyhodnocuj</w:t>
      </w:r>
      <w:r>
        <w:rPr>
          <w:sz w:val="20"/>
          <w:szCs w:val="20"/>
        </w:rPr>
        <w:t>e</w:t>
      </w:r>
      <w:r w:rsidRPr="001A3BAA">
        <w:rPr>
          <w:sz w:val="20"/>
          <w:szCs w:val="20"/>
        </w:rPr>
        <w:t xml:space="preserve"> na základě </w:t>
      </w:r>
      <w:r w:rsidR="00C96ED3">
        <w:rPr>
          <w:sz w:val="20"/>
          <w:szCs w:val="20"/>
        </w:rPr>
        <w:t xml:space="preserve">externí </w:t>
      </w:r>
      <w:r w:rsidRPr="001A3BAA">
        <w:rPr>
          <w:sz w:val="20"/>
          <w:szCs w:val="20"/>
        </w:rPr>
        <w:t>kalibrační křivky</w:t>
      </w:r>
      <w:r w:rsidR="00C96ED3">
        <w:rPr>
          <w:sz w:val="20"/>
          <w:szCs w:val="20"/>
        </w:rPr>
        <w:t xml:space="preserve"> standardů, které byly zpracovávány stejným postupem jako vzorky</w:t>
      </w:r>
      <w:r w:rsidRPr="001A3BAA">
        <w:rPr>
          <w:sz w:val="20"/>
          <w:szCs w:val="20"/>
        </w:rPr>
        <w:t>.</w:t>
      </w:r>
    </w:p>
    <w:p w:rsidR="001A3BAA" w:rsidRPr="008349C2" w:rsidRDefault="001A3BAA" w:rsidP="001A3BAA">
      <w:pPr>
        <w:pStyle w:val="Odstavecseseznamem"/>
        <w:ind w:left="0"/>
        <w:rPr>
          <w:sz w:val="20"/>
          <w:szCs w:val="20"/>
        </w:rPr>
      </w:pPr>
      <w:r w:rsidRPr="00F45F12">
        <w:rPr>
          <w:b/>
          <w:sz w:val="20"/>
          <w:szCs w:val="20"/>
        </w:rPr>
        <w:t xml:space="preserve">Kalibrace </w:t>
      </w:r>
      <w:proofErr w:type="spellStart"/>
      <w:r w:rsidRPr="00F45F12">
        <w:rPr>
          <w:b/>
          <w:sz w:val="20"/>
          <w:szCs w:val="20"/>
        </w:rPr>
        <w:t>MDA</w:t>
      </w:r>
      <w:proofErr w:type="spellEnd"/>
      <w:r w:rsidRPr="00F45F12">
        <w:rPr>
          <w:b/>
          <w:sz w:val="20"/>
          <w:szCs w:val="20"/>
        </w:rPr>
        <w:t>:</w:t>
      </w:r>
      <w:r w:rsidR="008349C2">
        <w:rPr>
          <w:b/>
          <w:sz w:val="20"/>
          <w:szCs w:val="20"/>
        </w:rPr>
        <w:t xml:space="preserve"> </w:t>
      </w:r>
      <w:r w:rsidR="008349C2" w:rsidRPr="008349C2">
        <w:rPr>
          <w:sz w:val="20"/>
          <w:szCs w:val="20"/>
        </w:rPr>
        <w:t>(</w:t>
      </w:r>
      <w:r w:rsidR="008349C2" w:rsidRPr="00F45F12">
        <w:rPr>
          <w:b/>
          <w:sz w:val="20"/>
          <w:szCs w:val="20"/>
          <w:highlight w:val="yellow"/>
        </w:rPr>
        <w:t>nebude součástí cvičení</w:t>
      </w:r>
      <w:r w:rsidR="008349C2" w:rsidRPr="008349C2">
        <w:rPr>
          <w:sz w:val="20"/>
          <w:szCs w:val="20"/>
        </w:rPr>
        <w:t>)</w:t>
      </w:r>
    </w:p>
    <w:p w:rsidR="001A3BAA" w:rsidRPr="0006101E" w:rsidRDefault="001A3BAA" w:rsidP="0006101E">
      <w:pPr>
        <w:pStyle w:val="Textkomente"/>
        <w:spacing w:line="360" w:lineRule="auto"/>
        <w:ind w:left="709"/>
        <w:rPr>
          <w:rFonts w:asciiTheme="minorHAnsi" w:hAnsiTheme="minorHAnsi"/>
        </w:rPr>
      </w:pPr>
      <w:r w:rsidRPr="0006101E">
        <w:rPr>
          <w:rFonts w:asciiTheme="minorHAnsi" w:hAnsiTheme="minorHAnsi"/>
        </w:rPr>
        <w:t>Kalibrační křivka je připravena v rozsahu 0.</w:t>
      </w:r>
      <w:r w:rsidR="009A5D3F" w:rsidRPr="0006101E">
        <w:rPr>
          <w:rFonts w:asciiTheme="minorHAnsi" w:hAnsiTheme="minorHAnsi"/>
        </w:rPr>
        <w:t>1</w:t>
      </w:r>
      <w:r w:rsidRPr="0006101E">
        <w:rPr>
          <w:rFonts w:asciiTheme="minorHAnsi" w:hAnsiTheme="minorHAnsi"/>
        </w:rPr>
        <w:t>-2</w:t>
      </w:r>
      <w:r w:rsidR="009A5D3F" w:rsidRPr="009A5D3F">
        <w:rPr>
          <w:rFonts w:ascii="Symbol" w:hAnsi="Symbol"/>
        </w:rPr>
        <w:t></w:t>
      </w:r>
      <w:r w:rsidRPr="0006101E">
        <w:rPr>
          <w:rFonts w:asciiTheme="minorHAnsi" w:hAnsiTheme="minorHAnsi"/>
        </w:rPr>
        <w:t>M.</w:t>
      </w:r>
      <w:r w:rsidR="00444658" w:rsidRPr="0006101E">
        <w:rPr>
          <w:rFonts w:asciiTheme="minorHAnsi" w:hAnsiTheme="minorHAnsi"/>
        </w:rPr>
        <w:t xml:space="preserve"> </w:t>
      </w:r>
      <w:r w:rsidRPr="0006101E">
        <w:rPr>
          <w:rFonts w:asciiTheme="minorHAnsi" w:hAnsiTheme="minorHAnsi"/>
          <w:b/>
        </w:rPr>
        <w:t xml:space="preserve">Standard </w:t>
      </w:r>
      <w:proofErr w:type="spellStart"/>
      <w:r w:rsidRPr="0006101E">
        <w:rPr>
          <w:rFonts w:asciiTheme="minorHAnsi" w:hAnsiTheme="minorHAnsi"/>
          <w:b/>
        </w:rPr>
        <w:t>MDA</w:t>
      </w:r>
      <w:proofErr w:type="spellEnd"/>
      <w:r w:rsidRPr="0006101E">
        <w:rPr>
          <w:rFonts w:asciiTheme="minorHAnsi" w:hAnsiTheme="minorHAnsi"/>
        </w:rPr>
        <w:t xml:space="preserve">: </w:t>
      </w:r>
      <w:proofErr w:type="spellStart"/>
      <w:r w:rsidRPr="0006101E">
        <w:rPr>
          <w:rFonts w:asciiTheme="minorHAnsi" w:hAnsiTheme="minorHAnsi"/>
        </w:rPr>
        <w:t>10mM</w:t>
      </w:r>
      <w:proofErr w:type="spellEnd"/>
      <w:r w:rsidRPr="0006101E">
        <w:rPr>
          <w:rFonts w:asciiTheme="minorHAnsi" w:hAnsiTheme="minorHAnsi"/>
        </w:rPr>
        <w:t xml:space="preserve"> zásobní roztok - 11,</w:t>
      </w:r>
      <w:proofErr w:type="spellStart"/>
      <w:r w:rsidRPr="0006101E">
        <w:rPr>
          <w:rFonts w:asciiTheme="minorHAnsi" w:hAnsiTheme="minorHAnsi"/>
        </w:rPr>
        <w:t>02mg</w:t>
      </w:r>
      <w:proofErr w:type="spellEnd"/>
      <w:r w:rsidRPr="0006101E">
        <w:rPr>
          <w:rFonts w:asciiTheme="minorHAnsi" w:hAnsiTheme="minorHAnsi"/>
        </w:rPr>
        <w:t xml:space="preserve"> </w:t>
      </w:r>
      <w:r w:rsidR="0018381E" w:rsidRPr="0006101E">
        <w:rPr>
          <w:rFonts w:asciiTheme="minorHAnsi" w:hAnsiTheme="minorHAnsi"/>
        </w:rPr>
        <w:t>(1,1,3,3-</w:t>
      </w:r>
      <w:proofErr w:type="spellStart"/>
      <w:r w:rsidR="0018381E" w:rsidRPr="0006101E">
        <w:rPr>
          <w:rFonts w:asciiTheme="minorHAnsi" w:hAnsiTheme="minorHAnsi"/>
        </w:rPr>
        <w:t>tetraethoxypropanu</w:t>
      </w:r>
      <w:proofErr w:type="spellEnd"/>
      <w:r w:rsidR="0018381E" w:rsidRPr="0006101E">
        <w:rPr>
          <w:rFonts w:asciiTheme="minorHAnsi" w:hAnsiTheme="minorHAnsi"/>
        </w:rPr>
        <w:t>)</w:t>
      </w:r>
      <w:r w:rsidRPr="0006101E">
        <w:rPr>
          <w:rFonts w:asciiTheme="minorHAnsi" w:hAnsiTheme="minorHAnsi"/>
        </w:rPr>
        <w:t xml:space="preserve"> se rozpustí v </w:t>
      </w:r>
      <w:proofErr w:type="spellStart"/>
      <w:r w:rsidRPr="0006101E">
        <w:rPr>
          <w:rFonts w:asciiTheme="minorHAnsi" w:hAnsiTheme="minorHAnsi"/>
        </w:rPr>
        <w:t>5ml</w:t>
      </w:r>
      <w:proofErr w:type="spellEnd"/>
      <w:r w:rsidRPr="0006101E">
        <w:rPr>
          <w:rFonts w:asciiTheme="minorHAnsi" w:hAnsiTheme="minorHAnsi"/>
        </w:rPr>
        <w:t xml:space="preserve"> 1% </w:t>
      </w:r>
      <w:proofErr w:type="spellStart"/>
      <w:r w:rsidRPr="0006101E">
        <w:rPr>
          <w:rFonts w:asciiTheme="minorHAnsi" w:hAnsiTheme="minorHAnsi"/>
        </w:rPr>
        <w:t>H2SO4</w:t>
      </w:r>
      <w:proofErr w:type="spellEnd"/>
      <w:r w:rsidRPr="0006101E">
        <w:rPr>
          <w:rFonts w:asciiTheme="minorHAnsi" w:hAnsiTheme="minorHAnsi"/>
        </w:rPr>
        <w:t xml:space="preserve">, promíchá se a nechá 2 hodiny stát (aby proběhla hydrolýza), poté se roztok </w:t>
      </w:r>
      <w:proofErr w:type="spellStart"/>
      <w:r w:rsidRPr="0006101E">
        <w:rPr>
          <w:rFonts w:asciiTheme="minorHAnsi" w:hAnsiTheme="minorHAnsi"/>
        </w:rPr>
        <w:t>vyředí</w:t>
      </w:r>
      <w:proofErr w:type="spellEnd"/>
      <w:r w:rsidRPr="0006101E">
        <w:rPr>
          <w:rFonts w:asciiTheme="minorHAnsi" w:hAnsiTheme="minorHAnsi"/>
        </w:rPr>
        <w:t xml:space="preserve"> na 100</w:t>
      </w:r>
      <w:r w:rsidRPr="001A3BAA">
        <w:t xml:space="preserve"> </w:t>
      </w:r>
      <w:r w:rsidR="009A5D3F" w:rsidRPr="009A5D3F">
        <w:rPr>
          <w:rFonts w:ascii="Symbol" w:hAnsi="Symbol"/>
        </w:rPr>
        <w:t></w:t>
      </w:r>
      <w:r w:rsidRPr="0006101E">
        <w:rPr>
          <w:rFonts w:asciiTheme="minorHAnsi" w:hAnsiTheme="minorHAnsi"/>
        </w:rPr>
        <w:t xml:space="preserve">M roztok </w:t>
      </w:r>
      <w:proofErr w:type="spellStart"/>
      <w:r w:rsidRPr="0006101E">
        <w:rPr>
          <w:rFonts w:asciiTheme="minorHAnsi" w:hAnsiTheme="minorHAnsi"/>
        </w:rPr>
        <w:t>MDA</w:t>
      </w:r>
      <w:proofErr w:type="spellEnd"/>
      <w:r w:rsidRPr="0006101E">
        <w:rPr>
          <w:rFonts w:asciiTheme="minorHAnsi" w:hAnsiTheme="minorHAnsi"/>
        </w:rPr>
        <w:t xml:space="preserve"> v 1% </w:t>
      </w:r>
      <w:proofErr w:type="spellStart"/>
      <w:r w:rsidRPr="0006101E">
        <w:rPr>
          <w:rFonts w:asciiTheme="minorHAnsi" w:hAnsiTheme="minorHAnsi"/>
        </w:rPr>
        <w:t>H2SO4</w:t>
      </w:r>
      <w:proofErr w:type="spellEnd"/>
      <w:r w:rsidRPr="0006101E">
        <w:rPr>
          <w:rFonts w:asciiTheme="minorHAnsi" w:hAnsiTheme="minorHAnsi"/>
        </w:rPr>
        <w:t xml:space="preserve"> (ředění </w:t>
      </w:r>
      <w:proofErr w:type="spellStart"/>
      <w:r w:rsidRPr="0006101E">
        <w:rPr>
          <w:rFonts w:asciiTheme="minorHAnsi" w:hAnsiTheme="minorHAnsi"/>
        </w:rPr>
        <w:t>100x</w:t>
      </w:r>
      <w:proofErr w:type="spellEnd"/>
      <w:r w:rsidRPr="0006101E">
        <w:rPr>
          <w:rFonts w:asciiTheme="minorHAnsi" w:hAnsiTheme="minorHAnsi"/>
        </w:rPr>
        <w:t>)</w:t>
      </w:r>
      <w:r w:rsidR="00541E90" w:rsidRPr="0006101E">
        <w:rPr>
          <w:rFonts w:asciiTheme="minorHAnsi" w:hAnsiTheme="minorHAnsi"/>
        </w:rPr>
        <w:t xml:space="preserve"> Přesná koncentrace </w:t>
      </w:r>
      <w:proofErr w:type="spellStart"/>
      <w:r w:rsidR="00541E90" w:rsidRPr="0006101E">
        <w:rPr>
          <w:rFonts w:asciiTheme="minorHAnsi" w:hAnsiTheme="minorHAnsi"/>
        </w:rPr>
        <w:t>MDA</w:t>
      </w:r>
      <w:proofErr w:type="spellEnd"/>
      <w:r w:rsidR="00541E90" w:rsidRPr="0006101E">
        <w:rPr>
          <w:rFonts w:asciiTheme="minorHAnsi" w:hAnsiTheme="minorHAnsi"/>
        </w:rPr>
        <w:t xml:space="preserve"> (cca 100</w:t>
      </w:r>
      <w:r w:rsidR="00541E90">
        <w:t xml:space="preserve"> </w:t>
      </w:r>
      <w:r w:rsidR="00541E90" w:rsidRPr="009A5D3F">
        <w:rPr>
          <w:rFonts w:ascii="Symbol" w:hAnsi="Symbol"/>
        </w:rPr>
        <w:t></w:t>
      </w:r>
      <w:r w:rsidR="00541E90" w:rsidRPr="0006101E">
        <w:rPr>
          <w:rFonts w:asciiTheme="minorHAnsi" w:hAnsiTheme="minorHAnsi"/>
        </w:rPr>
        <w:t xml:space="preserve">M ) se stanoví spektrofotometricky v skleněné kyvetě, měřením absorbance při </w:t>
      </w:r>
      <w:proofErr w:type="spellStart"/>
      <w:r w:rsidR="00541E90" w:rsidRPr="0006101E">
        <w:rPr>
          <w:rFonts w:asciiTheme="minorHAnsi" w:hAnsiTheme="minorHAnsi"/>
        </w:rPr>
        <w:t>245nm</w:t>
      </w:r>
      <w:proofErr w:type="spellEnd"/>
      <w:r w:rsidR="00541E90" w:rsidRPr="0006101E">
        <w:rPr>
          <w:rFonts w:asciiTheme="minorHAnsi" w:hAnsiTheme="minorHAnsi"/>
        </w:rPr>
        <w:t xml:space="preserve">, extinkční koeficient v 1% </w:t>
      </w:r>
      <w:proofErr w:type="spellStart"/>
      <w:r w:rsidR="00541E90" w:rsidRPr="0006101E">
        <w:rPr>
          <w:rFonts w:asciiTheme="minorHAnsi" w:hAnsiTheme="minorHAnsi"/>
        </w:rPr>
        <w:t>H2SO4</w:t>
      </w:r>
      <w:proofErr w:type="spellEnd"/>
      <w:r w:rsidR="00541E90" w:rsidRPr="0006101E">
        <w:rPr>
          <w:rFonts w:asciiTheme="minorHAnsi" w:hAnsiTheme="minorHAnsi"/>
        </w:rPr>
        <w:t xml:space="preserve"> je </w:t>
      </w:r>
      <w:r w:rsidR="00541E90" w:rsidRPr="0006101E">
        <w:rPr>
          <w:rFonts w:asciiTheme="minorHAnsi" w:hAnsiTheme="minorHAnsi"/>
        </w:rPr>
        <w:t>=13 700). Koncentrovaný roztok se</w:t>
      </w:r>
      <w:r w:rsidRPr="0006101E">
        <w:rPr>
          <w:rFonts w:asciiTheme="minorHAnsi" w:hAnsiTheme="minorHAnsi"/>
        </w:rPr>
        <w:t xml:space="preserve"> </w:t>
      </w:r>
      <w:r w:rsidR="009A5D3F" w:rsidRPr="0006101E">
        <w:rPr>
          <w:rFonts w:asciiTheme="minorHAnsi" w:hAnsiTheme="minorHAnsi"/>
        </w:rPr>
        <w:t xml:space="preserve">následně </w:t>
      </w:r>
      <w:proofErr w:type="spellStart"/>
      <w:r w:rsidR="00541E90" w:rsidRPr="0006101E">
        <w:rPr>
          <w:rFonts w:asciiTheme="minorHAnsi" w:hAnsiTheme="minorHAnsi"/>
        </w:rPr>
        <w:t>vyředí</w:t>
      </w:r>
      <w:proofErr w:type="spellEnd"/>
      <w:r w:rsidR="00541E90" w:rsidRPr="0006101E">
        <w:rPr>
          <w:rFonts w:asciiTheme="minorHAnsi" w:hAnsiTheme="minorHAnsi"/>
        </w:rPr>
        <w:t xml:space="preserve"> </w:t>
      </w:r>
      <w:r w:rsidR="009A5D3F" w:rsidRPr="0006101E">
        <w:rPr>
          <w:rFonts w:asciiTheme="minorHAnsi" w:hAnsiTheme="minorHAnsi"/>
        </w:rPr>
        <w:t>na 10</w:t>
      </w:r>
      <w:r w:rsidR="009A5D3F" w:rsidRPr="009A5D3F">
        <w:rPr>
          <w:rFonts w:ascii="Symbol" w:hAnsi="Symbol"/>
        </w:rPr>
        <w:t></w:t>
      </w:r>
      <w:r w:rsidR="009A5D3F" w:rsidRPr="0006101E">
        <w:rPr>
          <w:rFonts w:asciiTheme="minorHAnsi" w:hAnsiTheme="minorHAnsi"/>
        </w:rPr>
        <w:t xml:space="preserve">M v </w:t>
      </w:r>
      <w:proofErr w:type="spellStart"/>
      <w:r w:rsidR="009A5D3F" w:rsidRPr="0006101E">
        <w:rPr>
          <w:rFonts w:asciiTheme="minorHAnsi" w:hAnsiTheme="minorHAnsi"/>
        </w:rPr>
        <w:t>PBS</w:t>
      </w:r>
      <w:proofErr w:type="spellEnd"/>
      <w:r w:rsidR="009A5D3F" w:rsidRPr="0006101E">
        <w:rPr>
          <w:rFonts w:asciiTheme="minorHAnsi" w:hAnsiTheme="minorHAnsi"/>
        </w:rPr>
        <w:t xml:space="preserve"> (ředění </w:t>
      </w:r>
      <w:proofErr w:type="spellStart"/>
      <w:r w:rsidR="009A5D3F" w:rsidRPr="0006101E">
        <w:rPr>
          <w:rFonts w:asciiTheme="minorHAnsi" w:hAnsiTheme="minorHAnsi"/>
        </w:rPr>
        <w:t>10x</w:t>
      </w:r>
      <w:proofErr w:type="spellEnd"/>
      <w:r w:rsidR="009A5D3F" w:rsidRPr="0006101E">
        <w:rPr>
          <w:rFonts w:asciiTheme="minorHAnsi" w:hAnsiTheme="minorHAnsi"/>
        </w:rPr>
        <w:t>). Z 10</w:t>
      </w:r>
      <w:r w:rsidR="009A5D3F" w:rsidRPr="009A5D3F">
        <w:rPr>
          <w:rFonts w:ascii="Symbol" w:hAnsi="Symbol"/>
        </w:rPr>
        <w:t></w:t>
      </w:r>
      <w:r w:rsidR="009A5D3F" w:rsidRPr="0006101E">
        <w:rPr>
          <w:rFonts w:asciiTheme="minorHAnsi" w:hAnsiTheme="minorHAnsi"/>
        </w:rPr>
        <w:t xml:space="preserve">M roztoku se </w:t>
      </w:r>
      <w:r w:rsidRPr="0006101E">
        <w:rPr>
          <w:rFonts w:asciiTheme="minorHAnsi" w:hAnsiTheme="minorHAnsi"/>
        </w:rPr>
        <w:t>připraví</w:t>
      </w:r>
      <w:r w:rsidR="009A5D3F" w:rsidRPr="0006101E">
        <w:rPr>
          <w:rFonts w:asciiTheme="minorHAnsi" w:hAnsiTheme="minorHAnsi"/>
        </w:rPr>
        <w:t xml:space="preserve"> následující</w:t>
      </w:r>
      <w:r w:rsidRPr="0006101E">
        <w:rPr>
          <w:rFonts w:asciiTheme="minorHAnsi" w:hAnsiTheme="minorHAnsi"/>
        </w:rPr>
        <w:t xml:space="preserve"> koncentrační řada:</w:t>
      </w:r>
    </w:p>
    <w:tbl>
      <w:tblPr>
        <w:tblW w:w="50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1280"/>
        <w:gridCol w:w="989"/>
        <w:gridCol w:w="960"/>
        <w:gridCol w:w="1060"/>
      </w:tblGrid>
      <w:tr w:rsidR="009A5D3F" w:rsidRPr="00257921" w:rsidTr="00F45F12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257921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koncentrace [</w:t>
            </w:r>
            <w:r w:rsidRPr="009A5D3F">
              <w:rPr>
                <w:rFonts w:ascii="Symbol" w:hAnsi="Symbol"/>
                <w:sz w:val="20"/>
                <w:szCs w:val="20"/>
              </w:rPr>
              <w:t></w:t>
            </w: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M]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MDA</w:t>
            </w:r>
            <w:proofErr w:type="spellEnd"/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 xml:space="preserve"> 10</w:t>
            </w:r>
            <w:r w:rsidRPr="009A5D3F">
              <w:rPr>
                <w:rFonts w:ascii="Symbol" w:hAnsi="Symbol"/>
                <w:sz w:val="20"/>
                <w:szCs w:val="20"/>
              </w:rPr>
              <w:t></w:t>
            </w: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M[</w:t>
            </w:r>
            <w:r w:rsidRPr="009A5D3F">
              <w:rPr>
                <w:rFonts w:ascii="Symbol" w:hAnsi="Symbol"/>
                <w:sz w:val="20"/>
                <w:szCs w:val="20"/>
              </w:rPr>
              <w:t></w:t>
            </w: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l]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PBS</w:t>
            </w:r>
            <w:proofErr w:type="spellEnd"/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 xml:space="preserve"> [</w:t>
            </w:r>
            <w:r w:rsidRPr="009A5D3F">
              <w:rPr>
                <w:rFonts w:ascii="Symbol" w:hAnsi="Symbol"/>
                <w:sz w:val="20"/>
                <w:szCs w:val="20"/>
              </w:rPr>
              <w:t></w:t>
            </w: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l]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celkový objem [</w:t>
            </w:r>
            <w:r w:rsidRPr="009A5D3F">
              <w:rPr>
                <w:rFonts w:ascii="Symbol" w:hAnsi="Symbol"/>
                <w:sz w:val="20"/>
                <w:szCs w:val="20"/>
              </w:rPr>
              <w:t></w:t>
            </w:r>
            <w:r w:rsidRPr="009A5D3F"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  <w:t>l]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K5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K4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K3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</w:t>
            </w:r>
            <w:r w:rsidR="00D46CB9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.</w:t>
            </w: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K2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</w:t>
            </w:r>
            <w:r w:rsidR="00D46CB9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.</w:t>
            </w: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K1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</w:t>
            </w:r>
            <w:r w:rsidR="00D46CB9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.</w:t>
            </w: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D46CB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346</w:t>
            </w:r>
            <w:r w:rsidR="00D46CB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  <w:tr w:rsidR="009A5D3F" w:rsidRPr="00257921" w:rsidTr="00F45F1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K0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D3F" w:rsidRPr="009A5D3F" w:rsidRDefault="009A5D3F" w:rsidP="00F45F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9A5D3F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350</w:t>
            </w:r>
          </w:p>
        </w:tc>
      </w:tr>
    </w:tbl>
    <w:p w:rsidR="001A3BAA" w:rsidRPr="001A3BAA" w:rsidRDefault="001A3BAA" w:rsidP="00FC5073">
      <w:pPr>
        <w:spacing w:line="240" w:lineRule="auto"/>
        <w:ind w:left="709"/>
        <w:jc w:val="both"/>
        <w:rPr>
          <w:sz w:val="20"/>
          <w:szCs w:val="20"/>
        </w:rPr>
      </w:pPr>
    </w:p>
    <w:p w:rsidR="00444658" w:rsidRDefault="00444658" w:rsidP="00444658">
      <w:pPr>
        <w:pStyle w:val="Odstavecseseznamem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Vyhodnocení</w:t>
      </w:r>
      <w:r w:rsidRPr="004A59FE">
        <w:rPr>
          <w:b/>
          <w:sz w:val="20"/>
          <w:szCs w:val="20"/>
        </w:rPr>
        <w:t>:</w:t>
      </w:r>
    </w:p>
    <w:p w:rsidR="00444658" w:rsidRDefault="00444658" w:rsidP="0017178A">
      <w:pPr>
        <w:ind w:left="708"/>
        <w:jc w:val="both"/>
        <w:rPr>
          <w:sz w:val="20"/>
          <w:szCs w:val="20"/>
        </w:rPr>
      </w:pPr>
      <w:r w:rsidRPr="00444658">
        <w:rPr>
          <w:sz w:val="20"/>
          <w:szCs w:val="20"/>
        </w:rPr>
        <w:t>Množství vzniklého produktu</w:t>
      </w:r>
      <w:r w:rsidR="00FA49EE">
        <w:rPr>
          <w:sz w:val="20"/>
          <w:szCs w:val="20"/>
        </w:rPr>
        <w:t xml:space="preserve"> </w:t>
      </w:r>
      <w:proofErr w:type="spellStart"/>
      <w:r w:rsidR="00FA49EE">
        <w:rPr>
          <w:sz w:val="20"/>
          <w:szCs w:val="20"/>
        </w:rPr>
        <w:t>TBARS</w:t>
      </w:r>
      <w:proofErr w:type="spellEnd"/>
      <w:r w:rsidRPr="00444658">
        <w:rPr>
          <w:sz w:val="20"/>
          <w:szCs w:val="20"/>
        </w:rPr>
        <w:t xml:space="preserve"> vy</w:t>
      </w:r>
      <w:r w:rsidR="00FA49EE">
        <w:rPr>
          <w:sz w:val="20"/>
          <w:szCs w:val="20"/>
        </w:rPr>
        <w:t xml:space="preserve">počteme </w:t>
      </w:r>
      <w:r w:rsidR="007E40CD">
        <w:rPr>
          <w:sz w:val="20"/>
          <w:szCs w:val="20"/>
        </w:rPr>
        <w:t>na základě</w:t>
      </w:r>
      <w:r w:rsidR="00FA49EE">
        <w:rPr>
          <w:sz w:val="20"/>
          <w:szCs w:val="20"/>
        </w:rPr>
        <w:t xml:space="preserve"> externí kalibrační křivky závislosti plochy </w:t>
      </w:r>
      <w:proofErr w:type="spellStart"/>
      <w:r w:rsidR="00FA49EE">
        <w:rPr>
          <w:sz w:val="20"/>
          <w:szCs w:val="20"/>
        </w:rPr>
        <w:t>pík</w:t>
      </w:r>
      <w:r w:rsidR="008349C2">
        <w:rPr>
          <w:sz w:val="20"/>
          <w:szCs w:val="20"/>
        </w:rPr>
        <w:t>ů</w:t>
      </w:r>
      <w:proofErr w:type="spellEnd"/>
      <w:r w:rsidR="00FA49EE">
        <w:rPr>
          <w:sz w:val="20"/>
          <w:szCs w:val="20"/>
        </w:rPr>
        <w:t xml:space="preserve"> standard</w:t>
      </w:r>
      <w:r w:rsidR="008349C2">
        <w:rPr>
          <w:sz w:val="20"/>
          <w:szCs w:val="20"/>
        </w:rPr>
        <w:t>ů</w:t>
      </w:r>
      <w:r w:rsidR="00FA49EE">
        <w:rPr>
          <w:sz w:val="20"/>
          <w:szCs w:val="20"/>
        </w:rPr>
        <w:t xml:space="preserve"> </w:t>
      </w:r>
      <w:proofErr w:type="spellStart"/>
      <w:r w:rsidR="00FA49EE">
        <w:rPr>
          <w:sz w:val="20"/>
          <w:szCs w:val="20"/>
        </w:rPr>
        <w:t>MDA</w:t>
      </w:r>
      <w:proofErr w:type="spellEnd"/>
      <w:r w:rsidR="009A5D3F">
        <w:rPr>
          <w:sz w:val="20"/>
          <w:szCs w:val="20"/>
        </w:rPr>
        <w:t>-</w:t>
      </w:r>
      <w:proofErr w:type="spellStart"/>
      <w:r w:rsidR="009A5D3F">
        <w:rPr>
          <w:sz w:val="20"/>
          <w:szCs w:val="20"/>
        </w:rPr>
        <w:t>TBA</w:t>
      </w:r>
      <w:proofErr w:type="spellEnd"/>
      <w:r w:rsidR="007E40CD">
        <w:rPr>
          <w:sz w:val="20"/>
          <w:szCs w:val="20"/>
        </w:rPr>
        <w:t xml:space="preserve"> při 532 </w:t>
      </w:r>
      <w:proofErr w:type="spellStart"/>
      <w:r w:rsidR="007E40CD">
        <w:rPr>
          <w:sz w:val="20"/>
          <w:szCs w:val="20"/>
        </w:rPr>
        <w:t>nm</w:t>
      </w:r>
      <w:proofErr w:type="spellEnd"/>
      <w:r w:rsidR="007E40CD">
        <w:rPr>
          <w:sz w:val="20"/>
          <w:szCs w:val="20"/>
        </w:rPr>
        <w:t xml:space="preserve"> na je</w:t>
      </w:r>
      <w:r w:rsidR="008349C2">
        <w:rPr>
          <w:sz w:val="20"/>
          <w:szCs w:val="20"/>
        </w:rPr>
        <w:t>jich</w:t>
      </w:r>
      <w:r w:rsidR="007E40CD">
        <w:rPr>
          <w:sz w:val="20"/>
          <w:szCs w:val="20"/>
        </w:rPr>
        <w:t xml:space="preserve"> koncentraci (</w:t>
      </w:r>
      <w:r w:rsidR="009A5D3F" w:rsidRPr="009A5D3F">
        <w:rPr>
          <w:rFonts w:ascii="Symbol" w:hAnsi="Symbol"/>
          <w:sz w:val="20"/>
          <w:szCs w:val="20"/>
        </w:rPr>
        <w:t></w:t>
      </w:r>
      <w:r w:rsidR="007E40CD">
        <w:rPr>
          <w:sz w:val="20"/>
          <w:szCs w:val="20"/>
        </w:rPr>
        <w:t xml:space="preserve">M). </w:t>
      </w:r>
      <w:r w:rsidRPr="00444658">
        <w:rPr>
          <w:sz w:val="20"/>
          <w:szCs w:val="20"/>
        </w:rPr>
        <w:t xml:space="preserve">Výsledné hodnoty </w:t>
      </w:r>
      <w:r w:rsidR="007E40CD">
        <w:rPr>
          <w:sz w:val="20"/>
          <w:szCs w:val="20"/>
        </w:rPr>
        <w:t xml:space="preserve">množství </w:t>
      </w:r>
      <w:proofErr w:type="spellStart"/>
      <w:r w:rsidR="007E40CD">
        <w:rPr>
          <w:sz w:val="20"/>
          <w:szCs w:val="20"/>
        </w:rPr>
        <w:t>MDA</w:t>
      </w:r>
      <w:proofErr w:type="spellEnd"/>
      <w:r w:rsidR="007E40CD">
        <w:rPr>
          <w:sz w:val="20"/>
          <w:szCs w:val="20"/>
        </w:rPr>
        <w:t xml:space="preserve"> ve vzorku (</w:t>
      </w:r>
      <w:proofErr w:type="spellStart"/>
      <w:r w:rsidR="009A5D3F">
        <w:rPr>
          <w:sz w:val="20"/>
          <w:szCs w:val="20"/>
        </w:rPr>
        <w:t>MDA</w:t>
      </w:r>
      <w:proofErr w:type="spellEnd"/>
      <w:r w:rsidR="009A5D3F">
        <w:rPr>
          <w:sz w:val="20"/>
          <w:szCs w:val="20"/>
        </w:rPr>
        <w:t>-</w:t>
      </w:r>
      <w:proofErr w:type="spellStart"/>
      <w:r w:rsidR="009A5D3F">
        <w:rPr>
          <w:sz w:val="20"/>
          <w:szCs w:val="20"/>
        </w:rPr>
        <w:t>TBA</w:t>
      </w:r>
      <w:proofErr w:type="spellEnd"/>
      <w:r w:rsidR="009A5D3F">
        <w:rPr>
          <w:sz w:val="20"/>
          <w:szCs w:val="20"/>
        </w:rPr>
        <w:t xml:space="preserve"> neboli </w:t>
      </w:r>
      <w:proofErr w:type="spellStart"/>
      <w:r w:rsidR="007E40CD">
        <w:rPr>
          <w:sz w:val="20"/>
          <w:szCs w:val="20"/>
        </w:rPr>
        <w:t>TBARS</w:t>
      </w:r>
      <w:proofErr w:type="spellEnd"/>
      <w:r w:rsidR="007E40CD">
        <w:rPr>
          <w:sz w:val="20"/>
          <w:szCs w:val="20"/>
        </w:rPr>
        <w:t xml:space="preserve">) se vyjadřují </w:t>
      </w:r>
      <w:r w:rsidRPr="00444658">
        <w:rPr>
          <w:sz w:val="20"/>
          <w:szCs w:val="20"/>
        </w:rPr>
        <w:t xml:space="preserve">jako </w:t>
      </w:r>
      <w:proofErr w:type="spellStart"/>
      <w:r w:rsidRPr="00444658">
        <w:rPr>
          <w:sz w:val="20"/>
          <w:szCs w:val="20"/>
        </w:rPr>
        <w:t>nmol</w:t>
      </w:r>
      <w:proofErr w:type="spellEnd"/>
      <w:r w:rsidRPr="00444658">
        <w:rPr>
          <w:sz w:val="20"/>
          <w:szCs w:val="20"/>
        </w:rPr>
        <w:t xml:space="preserve"> </w:t>
      </w:r>
      <w:proofErr w:type="spellStart"/>
      <w:r w:rsidRPr="00444658">
        <w:rPr>
          <w:sz w:val="20"/>
          <w:szCs w:val="20"/>
        </w:rPr>
        <w:t>TBARS</w:t>
      </w:r>
      <w:proofErr w:type="spellEnd"/>
      <w:r w:rsidR="00524887">
        <w:rPr>
          <w:sz w:val="20"/>
          <w:szCs w:val="20"/>
        </w:rPr>
        <w:t>/</w:t>
      </w:r>
      <w:r w:rsidRPr="00444658">
        <w:rPr>
          <w:sz w:val="20"/>
          <w:szCs w:val="20"/>
        </w:rPr>
        <w:t xml:space="preserve">g </w:t>
      </w:r>
      <w:r w:rsidR="00230A59">
        <w:rPr>
          <w:sz w:val="20"/>
          <w:szCs w:val="20"/>
        </w:rPr>
        <w:t>mokré váhy</w:t>
      </w:r>
      <w:r w:rsidR="0074091C">
        <w:rPr>
          <w:sz w:val="20"/>
          <w:szCs w:val="20"/>
        </w:rPr>
        <w:t xml:space="preserve"> tkáně/sušiny</w:t>
      </w:r>
      <w:r w:rsidR="00230A59">
        <w:rPr>
          <w:sz w:val="20"/>
          <w:szCs w:val="20"/>
        </w:rPr>
        <w:t xml:space="preserve"> </w:t>
      </w:r>
      <w:r w:rsidR="007E40CD">
        <w:rPr>
          <w:sz w:val="20"/>
          <w:szCs w:val="20"/>
        </w:rPr>
        <w:t xml:space="preserve">nebo </w:t>
      </w:r>
      <w:proofErr w:type="spellStart"/>
      <w:r w:rsidR="007E40CD">
        <w:rPr>
          <w:sz w:val="20"/>
          <w:szCs w:val="20"/>
        </w:rPr>
        <w:t>nmol</w:t>
      </w:r>
      <w:proofErr w:type="spellEnd"/>
      <w:r w:rsidR="007E40CD">
        <w:rPr>
          <w:sz w:val="20"/>
          <w:szCs w:val="20"/>
        </w:rPr>
        <w:t xml:space="preserve"> </w:t>
      </w:r>
      <w:proofErr w:type="spellStart"/>
      <w:r w:rsidR="007E40CD">
        <w:rPr>
          <w:sz w:val="20"/>
          <w:szCs w:val="20"/>
        </w:rPr>
        <w:t>TBARS</w:t>
      </w:r>
      <w:proofErr w:type="spellEnd"/>
      <w:r w:rsidR="00524887">
        <w:rPr>
          <w:sz w:val="20"/>
          <w:szCs w:val="20"/>
        </w:rPr>
        <w:t>/</w:t>
      </w:r>
      <w:r w:rsidR="007E40CD">
        <w:rPr>
          <w:sz w:val="20"/>
          <w:szCs w:val="20"/>
        </w:rPr>
        <w:t>mg proteinů</w:t>
      </w:r>
      <w:r w:rsidR="008349C2">
        <w:rPr>
          <w:sz w:val="20"/>
          <w:szCs w:val="20"/>
        </w:rPr>
        <w:t xml:space="preserve"> </w:t>
      </w:r>
      <w:r w:rsidR="008349C2" w:rsidRPr="00541E90">
        <w:rPr>
          <w:sz w:val="20"/>
          <w:szCs w:val="20"/>
        </w:rPr>
        <w:t>(</w:t>
      </w:r>
      <w:r w:rsidR="008349C2" w:rsidRPr="00541E90">
        <w:rPr>
          <w:b/>
          <w:sz w:val="20"/>
          <w:szCs w:val="20"/>
        </w:rPr>
        <w:t>analýza obsahu proteinů nebude součástí cvičení</w:t>
      </w:r>
      <w:r w:rsidR="008349C2" w:rsidRPr="00541E90">
        <w:rPr>
          <w:sz w:val="20"/>
          <w:szCs w:val="20"/>
        </w:rPr>
        <w:t>)</w:t>
      </w:r>
      <w:r w:rsidRPr="00541E90">
        <w:rPr>
          <w:sz w:val="20"/>
          <w:szCs w:val="20"/>
        </w:rPr>
        <w:t>.</w:t>
      </w:r>
      <w:r w:rsidR="00524887">
        <w:rPr>
          <w:sz w:val="20"/>
          <w:szCs w:val="20"/>
        </w:rPr>
        <w:t xml:space="preserve"> </w:t>
      </w:r>
    </w:p>
    <w:p w:rsidR="00393EC4" w:rsidRPr="00541E90" w:rsidRDefault="00393EC4" w:rsidP="00541E90">
      <w:pPr>
        <w:pStyle w:val="Odstavecseseznamem"/>
        <w:ind w:left="0"/>
        <w:rPr>
          <w:b/>
          <w:sz w:val="20"/>
          <w:szCs w:val="20"/>
        </w:rPr>
      </w:pPr>
      <w:r w:rsidRPr="00541E90">
        <w:rPr>
          <w:b/>
          <w:sz w:val="20"/>
          <w:szCs w:val="20"/>
        </w:rPr>
        <w:t>Literatura:</w:t>
      </w:r>
    </w:p>
    <w:p w:rsidR="00541E90" w:rsidRDefault="00393EC4" w:rsidP="00F45F12">
      <w:pPr>
        <w:ind w:left="709"/>
        <w:rPr>
          <w:i/>
          <w:sz w:val="16"/>
          <w:szCs w:val="16"/>
        </w:rPr>
      </w:pPr>
      <w:proofErr w:type="spellStart"/>
      <w:r w:rsidRPr="00541E90">
        <w:rPr>
          <w:i/>
          <w:sz w:val="16"/>
          <w:szCs w:val="16"/>
        </w:rPr>
        <w:t>Lushchak</w:t>
      </w:r>
      <w:proofErr w:type="spellEnd"/>
      <w:r w:rsidRPr="00541E90">
        <w:rPr>
          <w:i/>
          <w:sz w:val="16"/>
          <w:szCs w:val="16"/>
        </w:rPr>
        <w:t xml:space="preserve">, V.I., </w:t>
      </w:r>
      <w:proofErr w:type="spellStart"/>
      <w:r w:rsidRPr="00541E90">
        <w:rPr>
          <w:i/>
          <w:sz w:val="16"/>
          <w:szCs w:val="16"/>
        </w:rPr>
        <w:t>Bagnyukova</w:t>
      </w:r>
      <w:proofErr w:type="spellEnd"/>
      <w:r w:rsidRPr="00541E90">
        <w:rPr>
          <w:i/>
          <w:sz w:val="16"/>
          <w:szCs w:val="16"/>
        </w:rPr>
        <w:t xml:space="preserve">, T.V., </w:t>
      </w:r>
      <w:proofErr w:type="spellStart"/>
      <w:r w:rsidRPr="00541E90">
        <w:rPr>
          <w:i/>
          <w:sz w:val="16"/>
          <w:szCs w:val="16"/>
        </w:rPr>
        <w:t>Lushchak</w:t>
      </w:r>
      <w:proofErr w:type="spellEnd"/>
      <w:r w:rsidRPr="00541E90">
        <w:rPr>
          <w:i/>
          <w:sz w:val="16"/>
          <w:szCs w:val="16"/>
        </w:rPr>
        <w:t xml:space="preserve"> O.V., </w:t>
      </w:r>
      <w:proofErr w:type="spellStart"/>
      <w:r w:rsidRPr="00541E90">
        <w:rPr>
          <w:i/>
          <w:sz w:val="16"/>
          <w:szCs w:val="16"/>
        </w:rPr>
        <w:t>Storey</w:t>
      </w:r>
      <w:proofErr w:type="spellEnd"/>
      <w:r w:rsidRPr="00541E90">
        <w:rPr>
          <w:i/>
          <w:sz w:val="16"/>
          <w:szCs w:val="16"/>
        </w:rPr>
        <w:t xml:space="preserve">, </w:t>
      </w:r>
      <w:proofErr w:type="spellStart"/>
      <w:r w:rsidRPr="00541E90">
        <w:rPr>
          <w:i/>
          <w:sz w:val="16"/>
          <w:szCs w:val="16"/>
        </w:rPr>
        <w:t>J.M</w:t>
      </w:r>
      <w:proofErr w:type="spellEnd"/>
      <w:r w:rsidRPr="00541E90">
        <w:rPr>
          <w:i/>
          <w:sz w:val="16"/>
          <w:szCs w:val="16"/>
        </w:rPr>
        <w:t xml:space="preserve">., </w:t>
      </w:r>
      <w:proofErr w:type="spellStart"/>
      <w:r w:rsidRPr="00541E90">
        <w:rPr>
          <w:i/>
          <w:sz w:val="16"/>
          <w:szCs w:val="16"/>
        </w:rPr>
        <w:t>Storey</w:t>
      </w:r>
      <w:proofErr w:type="spellEnd"/>
      <w:r w:rsidRPr="00541E90">
        <w:rPr>
          <w:i/>
          <w:sz w:val="16"/>
          <w:szCs w:val="16"/>
        </w:rPr>
        <w:t xml:space="preserve">, K.B. (2005) </w:t>
      </w:r>
      <w:proofErr w:type="spellStart"/>
      <w:r w:rsidRPr="00541E90">
        <w:rPr>
          <w:i/>
          <w:sz w:val="16"/>
          <w:szCs w:val="16"/>
        </w:rPr>
        <w:t>Hypoxia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and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recovery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perturb</w:t>
      </w:r>
      <w:proofErr w:type="spellEnd"/>
      <w:r w:rsidRPr="00541E90">
        <w:rPr>
          <w:i/>
          <w:sz w:val="16"/>
          <w:szCs w:val="16"/>
        </w:rPr>
        <w:t xml:space="preserve"> free </w:t>
      </w:r>
      <w:proofErr w:type="spellStart"/>
      <w:r w:rsidRPr="00541E90">
        <w:rPr>
          <w:i/>
          <w:sz w:val="16"/>
          <w:szCs w:val="16"/>
        </w:rPr>
        <w:t>radical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processes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and</w:t>
      </w:r>
      <w:proofErr w:type="spellEnd"/>
      <w:r w:rsidRPr="00541E90">
        <w:rPr>
          <w:i/>
          <w:sz w:val="16"/>
          <w:szCs w:val="16"/>
        </w:rPr>
        <w:t xml:space="preserve"> antioxidant </w:t>
      </w:r>
      <w:proofErr w:type="spellStart"/>
      <w:r w:rsidRPr="00541E90">
        <w:rPr>
          <w:i/>
          <w:sz w:val="16"/>
          <w:szCs w:val="16"/>
        </w:rPr>
        <w:t>potential</w:t>
      </w:r>
      <w:proofErr w:type="spellEnd"/>
      <w:r w:rsidRPr="00541E90">
        <w:rPr>
          <w:i/>
          <w:sz w:val="16"/>
          <w:szCs w:val="16"/>
        </w:rPr>
        <w:t xml:space="preserve"> in </w:t>
      </w:r>
      <w:proofErr w:type="spellStart"/>
      <w:r w:rsidRPr="00541E90">
        <w:rPr>
          <w:i/>
          <w:sz w:val="16"/>
          <w:szCs w:val="16"/>
        </w:rPr>
        <w:t>common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carp</w:t>
      </w:r>
      <w:proofErr w:type="spellEnd"/>
      <w:r w:rsidRPr="00541E90">
        <w:rPr>
          <w:i/>
          <w:sz w:val="16"/>
          <w:szCs w:val="16"/>
        </w:rPr>
        <w:t xml:space="preserve"> (</w:t>
      </w:r>
      <w:proofErr w:type="spellStart"/>
      <w:r w:rsidRPr="00541E90">
        <w:rPr>
          <w:i/>
          <w:sz w:val="16"/>
          <w:szCs w:val="16"/>
        </w:rPr>
        <w:t>Cyprinus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carpio</w:t>
      </w:r>
      <w:proofErr w:type="spellEnd"/>
      <w:r w:rsidRPr="00541E90">
        <w:rPr>
          <w:i/>
          <w:sz w:val="16"/>
          <w:szCs w:val="16"/>
        </w:rPr>
        <w:t xml:space="preserve">) </w:t>
      </w:r>
      <w:proofErr w:type="spellStart"/>
      <w:r w:rsidRPr="00541E90">
        <w:rPr>
          <w:i/>
          <w:sz w:val="16"/>
          <w:szCs w:val="16"/>
        </w:rPr>
        <w:t>tissues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The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International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Journal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of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Biochemistry</w:t>
      </w:r>
      <w:proofErr w:type="spellEnd"/>
      <w:r w:rsidRPr="00541E90">
        <w:rPr>
          <w:i/>
          <w:sz w:val="16"/>
          <w:szCs w:val="16"/>
        </w:rPr>
        <w:t xml:space="preserve"> &amp; Cell Biology 37 :1319–1330</w:t>
      </w:r>
    </w:p>
    <w:p w:rsidR="004A1DFC" w:rsidRPr="004A59FE" w:rsidRDefault="00393EC4" w:rsidP="002A2A6C">
      <w:pPr>
        <w:ind w:left="709"/>
        <w:rPr>
          <w:rFonts w:cs="Arial"/>
          <w:b/>
          <w:sz w:val="20"/>
          <w:szCs w:val="20"/>
          <w:shd w:val="clear" w:color="auto" w:fill="FFFFFF"/>
        </w:rPr>
      </w:pPr>
      <w:proofErr w:type="spellStart"/>
      <w:r w:rsidRPr="00541E90">
        <w:rPr>
          <w:i/>
          <w:sz w:val="16"/>
          <w:szCs w:val="16"/>
        </w:rPr>
        <w:t>Bastos</w:t>
      </w:r>
      <w:proofErr w:type="spellEnd"/>
      <w:r w:rsidRPr="00541E90">
        <w:rPr>
          <w:i/>
          <w:sz w:val="16"/>
          <w:szCs w:val="16"/>
        </w:rPr>
        <w:t xml:space="preserve">, A.S., de Melo </w:t>
      </w:r>
      <w:proofErr w:type="spellStart"/>
      <w:r w:rsidRPr="00541E90">
        <w:rPr>
          <w:i/>
          <w:sz w:val="16"/>
          <w:szCs w:val="16"/>
        </w:rPr>
        <w:t>Loureiro</w:t>
      </w:r>
      <w:proofErr w:type="spellEnd"/>
      <w:r w:rsidRPr="00541E90">
        <w:rPr>
          <w:i/>
          <w:sz w:val="16"/>
          <w:szCs w:val="16"/>
        </w:rPr>
        <w:t xml:space="preserve">, A.P.,  </w:t>
      </w:r>
      <w:proofErr w:type="spellStart"/>
      <w:r w:rsidRPr="00541E90">
        <w:rPr>
          <w:i/>
          <w:sz w:val="16"/>
          <w:szCs w:val="16"/>
        </w:rPr>
        <w:t>Franco</w:t>
      </w:r>
      <w:proofErr w:type="spellEnd"/>
      <w:r w:rsidRPr="00541E90">
        <w:rPr>
          <w:i/>
          <w:sz w:val="16"/>
          <w:szCs w:val="16"/>
        </w:rPr>
        <w:t xml:space="preserve"> de </w:t>
      </w:r>
      <w:proofErr w:type="spellStart"/>
      <w:r w:rsidRPr="00541E90">
        <w:rPr>
          <w:i/>
          <w:sz w:val="16"/>
          <w:szCs w:val="16"/>
        </w:rPr>
        <w:t>Oliveira</w:t>
      </w:r>
      <w:proofErr w:type="spellEnd"/>
      <w:r w:rsidRPr="00541E90">
        <w:rPr>
          <w:i/>
          <w:sz w:val="16"/>
          <w:szCs w:val="16"/>
        </w:rPr>
        <w:t xml:space="preserve">, T.,  </w:t>
      </w:r>
      <w:proofErr w:type="spellStart"/>
      <w:r w:rsidRPr="00541E90">
        <w:rPr>
          <w:i/>
          <w:sz w:val="16"/>
          <w:szCs w:val="16"/>
        </w:rPr>
        <w:t>Corbi</w:t>
      </w:r>
      <w:proofErr w:type="spellEnd"/>
      <w:r w:rsidRPr="00541E90">
        <w:rPr>
          <w:i/>
          <w:sz w:val="16"/>
          <w:szCs w:val="16"/>
        </w:rPr>
        <w:t xml:space="preserve">, S.C.T,  </w:t>
      </w:r>
      <w:proofErr w:type="spellStart"/>
      <w:r w:rsidRPr="00541E90">
        <w:rPr>
          <w:i/>
          <w:sz w:val="16"/>
          <w:szCs w:val="16"/>
        </w:rPr>
        <w:t>Caminaga</w:t>
      </w:r>
      <w:proofErr w:type="spellEnd"/>
      <w:r w:rsidRPr="00541E90">
        <w:rPr>
          <w:i/>
          <w:sz w:val="16"/>
          <w:szCs w:val="16"/>
        </w:rPr>
        <w:t xml:space="preserve">, </w:t>
      </w:r>
      <w:proofErr w:type="spellStart"/>
      <w:r w:rsidRPr="00541E90">
        <w:rPr>
          <w:i/>
          <w:sz w:val="16"/>
          <w:szCs w:val="16"/>
        </w:rPr>
        <w:t>R.M.S</w:t>
      </w:r>
      <w:proofErr w:type="spellEnd"/>
      <w:r w:rsidRPr="00541E90">
        <w:rPr>
          <w:i/>
          <w:sz w:val="16"/>
          <w:szCs w:val="16"/>
        </w:rPr>
        <w:t xml:space="preserve">.,  </w:t>
      </w:r>
      <w:proofErr w:type="spellStart"/>
      <w:r w:rsidRPr="00541E90">
        <w:rPr>
          <w:i/>
          <w:sz w:val="16"/>
          <w:szCs w:val="16"/>
        </w:rPr>
        <w:t>Júnior</w:t>
      </w:r>
      <w:proofErr w:type="spellEnd"/>
      <w:r w:rsidRPr="00541E90">
        <w:rPr>
          <w:i/>
          <w:sz w:val="16"/>
          <w:szCs w:val="16"/>
        </w:rPr>
        <w:t xml:space="preserve">, C.R.,  </w:t>
      </w:r>
      <w:proofErr w:type="spellStart"/>
      <w:r w:rsidRPr="00541E90">
        <w:rPr>
          <w:i/>
          <w:sz w:val="16"/>
          <w:szCs w:val="16"/>
        </w:rPr>
        <w:t>Orrico</w:t>
      </w:r>
      <w:proofErr w:type="spellEnd"/>
      <w:r w:rsidRPr="00541E90">
        <w:rPr>
          <w:i/>
          <w:sz w:val="16"/>
          <w:szCs w:val="16"/>
        </w:rPr>
        <w:t>, S.</w:t>
      </w:r>
      <w:proofErr w:type="spellStart"/>
      <w:r w:rsidRPr="00541E90">
        <w:rPr>
          <w:i/>
          <w:sz w:val="16"/>
          <w:szCs w:val="16"/>
        </w:rPr>
        <w:t>R.P</w:t>
      </w:r>
      <w:proofErr w:type="spellEnd"/>
      <w:r w:rsidRPr="00541E90">
        <w:rPr>
          <w:i/>
          <w:sz w:val="16"/>
          <w:szCs w:val="16"/>
        </w:rPr>
        <w:t xml:space="preserve">. (2012) </w:t>
      </w:r>
      <w:proofErr w:type="spellStart"/>
      <w:r w:rsidR="002A2A6C">
        <w:rPr>
          <w:i/>
          <w:sz w:val="16"/>
          <w:szCs w:val="16"/>
        </w:rPr>
        <w:t>M</w:t>
      </w:r>
      <w:r w:rsidRPr="00541E90">
        <w:rPr>
          <w:i/>
          <w:sz w:val="16"/>
          <w:szCs w:val="16"/>
        </w:rPr>
        <w:t>alondialdehyde</w:t>
      </w:r>
      <w:proofErr w:type="spellEnd"/>
      <w:r w:rsidRPr="00541E90">
        <w:rPr>
          <w:i/>
          <w:sz w:val="16"/>
          <w:szCs w:val="16"/>
        </w:rPr>
        <w:t xml:space="preserve"> in </w:t>
      </w:r>
      <w:proofErr w:type="spellStart"/>
      <w:r w:rsidRPr="00541E90">
        <w:rPr>
          <w:i/>
          <w:sz w:val="16"/>
          <w:szCs w:val="16"/>
        </w:rPr>
        <w:t>gingival</w:t>
      </w:r>
      <w:proofErr w:type="spellEnd"/>
      <w:r w:rsidRPr="00541E90">
        <w:rPr>
          <w:i/>
          <w:sz w:val="16"/>
          <w:szCs w:val="16"/>
        </w:rPr>
        <w:t xml:space="preserve"> </w:t>
      </w:r>
      <w:proofErr w:type="spellStart"/>
      <w:r w:rsidRPr="00541E90">
        <w:rPr>
          <w:i/>
          <w:sz w:val="16"/>
          <w:szCs w:val="16"/>
        </w:rPr>
        <w:t>crevicular</w:t>
      </w:r>
      <w:proofErr w:type="spellEnd"/>
      <w:r w:rsidRPr="00541E90">
        <w:rPr>
          <w:i/>
          <w:sz w:val="16"/>
          <w:szCs w:val="16"/>
        </w:rPr>
        <w:t xml:space="preserve"> fluid.  </w:t>
      </w:r>
      <w:proofErr w:type="spellStart"/>
      <w:r w:rsidRPr="00541E90">
        <w:rPr>
          <w:i/>
          <w:sz w:val="16"/>
          <w:szCs w:val="16"/>
        </w:rPr>
        <w:t>Anal</w:t>
      </w:r>
      <w:proofErr w:type="spellEnd"/>
      <w:r w:rsidRPr="00541E90">
        <w:rPr>
          <w:i/>
          <w:sz w:val="16"/>
          <w:szCs w:val="16"/>
        </w:rPr>
        <w:t xml:space="preserve">. </w:t>
      </w:r>
      <w:proofErr w:type="spellStart"/>
      <w:r w:rsidRPr="00541E90">
        <w:rPr>
          <w:i/>
          <w:sz w:val="16"/>
          <w:szCs w:val="16"/>
        </w:rPr>
        <w:t>Biochem</w:t>
      </w:r>
      <w:proofErr w:type="spellEnd"/>
      <w:r w:rsidRPr="00541E90">
        <w:rPr>
          <w:i/>
          <w:sz w:val="16"/>
          <w:szCs w:val="16"/>
        </w:rPr>
        <w:t>. 423: 141–146</w:t>
      </w:r>
    </w:p>
    <w:sectPr w:rsidR="004A1DFC" w:rsidRPr="004A59FE" w:rsidSect="0085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47A"/>
    <w:multiLevelType w:val="hybridMultilevel"/>
    <w:tmpl w:val="15E40C56"/>
    <w:lvl w:ilvl="0" w:tplc="C9925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83338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8DD4E2E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F75"/>
    <w:multiLevelType w:val="hybridMultilevel"/>
    <w:tmpl w:val="770A5A54"/>
    <w:lvl w:ilvl="0" w:tplc="9CA4D65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0473"/>
    <w:multiLevelType w:val="hybridMultilevel"/>
    <w:tmpl w:val="9CE48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1B5A"/>
    <w:multiLevelType w:val="hybridMultilevel"/>
    <w:tmpl w:val="5694C570"/>
    <w:lvl w:ilvl="0" w:tplc="E084E2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D2173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A5F49"/>
    <w:rsid w:val="000021BD"/>
    <w:rsid w:val="00036CC3"/>
    <w:rsid w:val="0006101E"/>
    <w:rsid w:val="00090FCE"/>
    <w:rsid w:val="000C6DC8"/>
    <w:rsid w:val="000E76D0"/>
    <w:rsid w:val="00157FE2"/>
    <w:rsid w:val="0017178A"/>
    <w:rsid w:val="0018381E"/>
    <w:rsid w:val="001A3BAA"/>
    <w:rsid w:val="001B66F9"/>
    <w:rsid w:val="00230A59"/>
    <w:rsid w:val="00237FE2"/>
    <w:rsid w:val="002623A4"/>
    <w:rsid w:val="00291222"/>
    <w:rsid w:val="002A2A6C"/>
    <w:rsid w:val="002D0B96"/>
    <w:rsid w:val="002F4B5F"/>
    <w:rsid w:val="0030672B"/>
    <w:rsid w:val="003429A8"/>
    <w:rsid w:val="00375146"/>
    <w:rsid w:val="00393EC4"/>
    <w:rsid w:val="00444658"/>
    <w:rsid w:val="004865BF"/>
    <w:rsid w:val="00494E26"/>
    <w:rsid w:val="004A167C"/>
    <w:rsid w:val="004A1DFC"/>
    <w:rsid w:val="004A59FE"/>
    <w:rsid w:val="004B3919"/>
    <w:rsid w:val="004C32A2"/>
    <w:rsid w:val="004C3A5F"/>
    <w:rsid w:val="004C3AA6"/>
    <w:rsid w:val="004D56AB"/>
    <w:rsid w:val="004F1FCA"/>
    <w:rsid w:val="004F4AC8"/>
    <w:rsid w:val="005154FC"/>
    <w:rsid w:val="00524887"/>
    <w:rsid w:val="00541E90"/>
    <w:rsid w:val="00545068"/>
    <w:rsid w:val="0057409D"/>
    <w:rsid w:val="00597507"/>
    <w:rsid w:val="005B42C3"/>
    <w:rsid w:val="005D64DA"/>
    <w:rsid w:val="005E42F3"/>
    <w:rsid w:val="005F599D"/>
    <w:rsid w:val="00600616"/>
    <w:rsid w:val="00602C06"/>
    <w:rsid w:val="00673939"/>
    <w:rsid w:val="00682944"/>
    <w:rsid w:val="006860F7"/>
    <w:rsid w:val="006A0409"/>
    <w:rsid w:val="006B4A43"/>
    <w:rsid w:val="006C2ABF"/>
    <w:rsid w:val="006D37D0"/>
    <w:rsid w:val="006F0DAE"/>
    <w:rsid w:val="0074091C"/>
    <w:rsid w:val="007617CD"/>
    <w:rsid w:val="007677E8"/>
    <w:rsid w:val="00767B08"/>
    <w:rsid w:val="00770970"/>
    <w:rsid w:val="00773E6E"/>
    <w:rsid w:val="007753CB"/>
    <w:rsid w:val="007A5F49"/>
    <w:rsid w:val="007B2996"/>
    <w:rsid w:val="007E40CD"/>
    <w:rsid w:val="007F3AC5"/>
    <w:rsid w:val="0081111B"/>
    <w:rsid w:val="008349C2"/>
    <w:rsid w:val="008534C9"/>
    <w:rsid w:val="00860047"/>
    <w:rsid w:val="00875758"/>
    <w:rsid w:val="0090584E"/>
    <w:rsid w:val="00941683"/>
    <w:rsid w:val="009468FC"/>
    <w:rsid w:val="00947813"/>
    <w:rsid w:val="009A5D3F"/>
    <w:rsid w:val="009E1473"/>
    <w:rsid w:val="00A27A4D"/>
    <w:rsid w:val="00A76F28"/>
    <w:rsid w:val="00AA51AC"/>
    <w:rsid w:val="00B04BFB"/>
    <w:rsid w:val="00B2699F"/>
    <w:rsid w:val="00B32CF3"/>
    <w:rsid w:val="00B624A8"/>
    <w:rsid w:val="00B745FE"/>
    <w:rsid w:val="00B86641"/>
    <w:rsid w:val="00B97803"/>
    <w:rsid w:val="00BB0624"/>
    <w:rsid w:val="00BD7EFB"/>
    <w:rsid w:val="00C00D55"/>
    <w:rsid w:val="00C0525E"/>
    <w:rsid w:val="00C05420"/>
    <w:rsid w:val="00C20FB1"/>
    <w:rsid w:val="00C96ED3"/>
    <w:rsid w:val="00CD4757"/>
    <w:rsid w:val="00D02DAE"/>
    <w:rsid w:val="00D075EA"/>
    <w:rsid w:val="00D46CB9"/>
    <w:rsid w:val="00D9559D"/>
    <w:rsid w:val="00DA7318"/>
    <w:rsid w:val="00DC3779"/>
    <w:rsid w:val="00DE612E"/>
    <w:rsid w:val="00DF319A"/>
    <w:rsid w:val="00DF651C"/>
    <w:rsid w:val="00E919E2"/>
    <w:rsid w:val="00EA20D9"/>
    <w:rsid w:val="00ED188E"/>
    <w:rsid w:val="00EE6BEB"/>
    <w:rsid w:val="00F23FE8"/>
    <w:rsid w:val="00F364AD"/>
    <w:rsid w:val="00F45F12"/>
    <w:rsid w:val="00F552FE"/>
    <w:rsid w:val="00FA49EE"/>
    <w:rsid w:val="00FC2DC5"/>
    <w:rsid w:val="00FC5073"/>
    <w:rsid w:val="00FD2830"/>
    <w:rsid w:val="00FD49E6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F4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A73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DFC"/>
    <w:pPr>
      <w:spacing w:after="120" w:line="288" w:lineRule="auto"/>
      <w:jc w:val="both"/>
    </w:pPr>
    <w:rPr>
      <w:rFonts w:ascii="Arial" w:eastAsia="Times New Roman" w:hAnsi="Arial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DFC"/>
    <w:rPr>
      <w:rFonts w:ascii="Arial" w:eastAsia="Times New Roman" w:hAnsi="Arial" w:cs="Times New Roman"/>
      <w:lang w:eastAsia="cs-CZ"/>
    </w:rPr>
  </w:style>
  <w:style w:type="table" w:styleId="Mkatabulky">
    <w:name w:val="Table Grid"/>
    <w:basedOn w:val="Normlntabulka"/>
    <w:uiPriority w:val="59"/>
    <w:rsid w:val="00ED18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4A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A5D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A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A5D3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D3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B51301-E5EE-4BFF-9E87-98D0F715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bielska</dc:creator>
  <cp:lastModifiedBy>Lucie Blahova</cp:lastModifiedBy>
  <cp:revision>3</cp:revision>
  <cp:lastPrinted>2014-10-10T06:28:00Z</cp:lastPrinted>
  <dcterms:created xsi:type="dcterms:W3CDTF">2016-12-01T07:59:00Z</dcterms:created>
  <dcterms:modified xsi:type="dcterms:W3CDTF">2016-12-01T07:59:00Z</dcterms:modified>
</cp:coreProperties>
</file>