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hydrophobic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</w:t>
      </w:r>
      <w:r w:rsidR="004E2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Danube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river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sediments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4E2104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>stimated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by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multi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-ratio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equilibrium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passive</w:t>
      </w:r>
      <w:proofErr w:type="spellEnd"/>
      <w:r w:rsidR="004E2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sampling</w:t>
      </w:r>
      <w:proofErr w:type="spellEnd"/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>MICHAELA BELHÁČOVÁ</w:t>
      </w:r>
      <w:r w:rsidRPr="006532BB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>, BRANISLAV VRANA</w:t>
      </w:r>
      <w:r w:rsidRPr="006532BB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>, TATSIANA RUSINA</w:t>
      </w:r>
      <w:r w:rsidRPr="006532BB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>, FOPPE SMEDES</w:t>
      </w:r>
      <w:r w:rsidRPr="006532BB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t>1</w:t>
      </w:r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1Masaryk University,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Research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Centre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Toxic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Compounds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4E210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Environment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Kamenice 753/5, 625 00 Brno,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Czech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Republic</w:t>
      </w:r>
      <w:proofErr w:type="spellEnd"/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hyperlink r:id="rId4" w:history="1">
        <w:r w:rsidRPr="004E21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belhacova@recetox.muni.cz</w:t>
        </w:r>
      </w:hyperlink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5" w:history="1">
        <w:r w:rsidRPr="004E21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vrana@recetox.muni.cz</w:t>
        </w:r>
      </w:hyperlink>
      <w:r w:rsidRPr="006532BB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Pr="004E21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rusina@recetox.muni.cz</w:t>
        </w:r>
      </w:hyperlink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hyperlink r:id="rId7" w:history="1">
        <w:r w:rsidRPr="004E210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smedes@recetox.muni.cz</w:t>
        </w:r>
      </w:hyperlink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4E2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A64B66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about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persistent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organic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pollutants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POPs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 in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not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adequate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assess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risks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linked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fraction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POPs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adsorbed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</w:t>
      </w:r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very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firmly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amourphous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carbon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-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different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types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black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carbon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cannot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released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(1)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while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released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aqueous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phase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actually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POP’s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risk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surrounding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environment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(2)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Freely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dissolved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are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directly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proportional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chemical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activity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i.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also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driving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force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POPs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accumulation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organisms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diffusive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transport. As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result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presence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strongly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bound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POPs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fraction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sediment,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may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significantly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lower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than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estimated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using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equilibrium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partitiong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models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generic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partition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coefficients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7F238F" w:rsidRDefault="006532BB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Freely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dissolved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Cw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 as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well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as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releasable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(CAS)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be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determined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by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equilibration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partitioning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passive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silicone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rubber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polymer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high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sorption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capacity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non-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polar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compounds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using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various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−sediment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ratios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(3)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This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method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allows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construct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sorption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isotherm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yielding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low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/sediment ratio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minor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depletion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phase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high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/sediment ratio (maximum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depletion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phase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 -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sediment (3).</w:t>
      </w:r>
      <w:r w:rsidR="00A64B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6532BB" w:rsidRPr="006532BB" w:rsidRDefault="006532BB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demonstrated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application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multi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-ratio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equilibrium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passive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method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five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different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-sediment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phase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ratios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rating</w:t>
      </w:r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0.0005 to 0.2)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measure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freely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dissolved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polycyclic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aromatic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hydrocarbons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PAHs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),</w:t>
      </w:r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organochlorine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pesticides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OCPs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),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polychlorinated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biphenyls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PCBs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),</w:t>
      </w:r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musks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alkylphosphates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their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total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sediments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that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were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collected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9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locations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Danube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river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comparison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obtained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freely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dissolved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column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river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allow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assess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potential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riverbed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sediments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spontaneously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release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accummulate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to/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from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column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provide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information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pool in sediment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available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spontaneous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exchange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with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the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surrounding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environment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E2104" w:rsidRPr="004E2104" w:rsidRDefault="004E2104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(1)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Cornelissen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G.,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Gustafsson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Ö. ̈,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Bucheli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T. D.,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Jonker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M. T. O.,</w:t>
      </w:r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Koelmans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A. a.,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Van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Noort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P. C. M.,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Extensive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sorption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organic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compounds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black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carbon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kerogen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sediments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soils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Mechanisms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consequences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for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distribution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bioaccumulation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biodegradation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Sci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Technol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., 2005, 39, 6881–6895.</w:t>
      </w:r>
    </w:p>
    <w:p w:rsidR="004E2104" w:rsidRPr="004E2104" w:rsidRDefault="004E2104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(2)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Reichenberg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F. </w:t>
      </w:r>
      <w:proofErr w:type="spellStart"/>
      <w:proofErr w:type="gram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proofErr w:type="gram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Mayer* P.,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Two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Complementary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Sides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Bioavailability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Accessibility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Chemical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Activity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Organic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Contaminants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Sediments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Soils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Toxicol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Chem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., 2006, 25,</w:t>
      </w:r>
    </w:p>
    <w:p w:rsidR="006532BB" w:rsidRDefault="006532BB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>1239.</w:t>
      </w:r>
    </w:p>
    <w:p w:rsidR="007F238F" w:rsidRPr="006532BB" w:rsidRDefault="007F238F" w:rsidP="004E2104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</w:p>
    <w:p w:rsidR="006532BB" w:rsidRPr="006532BB" w:rsidRDefault="006532BB" w:rsidP="007F238F">
      <w:pPr>
        <w:tabs>
          <w:tab w:val="left" w:pos="45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0"/>
          <w:szCs w:val="20"/>
          <w:lang w:eastAsia="cs-CZ"/>
        </w:rPr>
      </w:pPr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(3)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Smedes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F., van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Vliet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L. A.,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Booij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K.,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Multi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-ratio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equilibrium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passive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sampling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method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to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estimate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accessible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pore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water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concentrations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polycyclic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aromatic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hydrocarbons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and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polychlorinated</w:t>
      </w:r>
      <w:proofErr w:type="spellEnd"/>
      <w:r w:rsidR="007F238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biphenyls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 in sediment.,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Environ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Sci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proofErr w:type="spellStart"/>
      <w:r w:rsidRPr="006532BB">
        <w:rPr>
          <w:rFonts w:ascii="Arial" w:eastAsia="Times New Roman" w:hAnsi="Arial" w:cs="Arial"/>
          <w:sz w:val="20"/>
          <w:szCs w:val="20"/>
          <w:lang w:eastAsia="cs-CZ"/>
        </w:rPr>
        <w:t>Technol</w:t>
      </w:r>
      <w:proofErr w:type="spellEnd"/>
      <w:r w:rsidRPr="006532BB">
        <w:rPr>
          <w:rFonts w:ascii="Arial" w:eastAsia="Times New Roman" w:hAnsi="Arial" w:cs="Arial"/>
          <w:sz w:val="20"/>
          <w:szCs w:val="20"/>
          <w:lang w:eastAsia="cs-CZ"/>
        </w:rPr>
        <w:t>., Jan. 2013, 47, 510–7.</w:t>
      </w:r>
    </w:p>
    <w:p w:rsidR="002D356C" w:rsidRPr="004E2104" w:rsidRDefault="002D356C" w:rsidP="004E2104">
      <w:pPr>
        <w:rPr>
          <w:rFonts w:ascii="Arial" w:hAnsi="Arial" w:cs="Arial"/>
        </w:rPr>
      </w:pPr>
    </w:p>
    <w:sectPr w:rsidR="002D356C" w:rsidRPr="004E2104" w:rsidSect="002D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532BB"/>
    <w:rsid w:val="0007389B"/>
    <w:rsid w:val="000E4F37"/>
    <w:rsid w:val="002D356C"/>
    <w:rsid w:val="004E2104"/>
    <w:rsid w:val="006532BB"/>
    <w:rsid w:val="007F238F"/>
    <w:rsid w:val="00A6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53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532B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53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edes@recetox.mun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ina@recetox.muni.cz" TargetMode="External"/><Relationship Id="rId5" Type="http://schemas.openxmlformats.org/officeDocument/2006/relationships/hyperlink" Target="mailto:vrana@recetox.muni.cz" TargetMode="External"/><Relationship Id="rId4" Type="http://schemas.openxmlformats.org/officeDocument/2006/relationships/hyperlink" Target="mailto:belhacova@recetox.m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Belhacova</dc:creator>
  <cp:lastModifiedBy>Michaela Belhacova</cp:lastModifiedBy>
  <cp:revision>1</cp:revision>
  <dcterms:created xsi:type="dcterms:W3CDTF">2017-01-04T09:58:00Z</dcterms:created>
  <dcterms:modified xsi:type="dcterms:W3CDTF">2017-01-04T10:04:00Z</dcterms:modified>
</cp:coreProperties>
</file>