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AA" w:rsidRDefault="000B23AA" w:rsidP="000B23AA">
      <w:pPr>
        <w:spacing w:after="0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Development </w:t>
      </w:r>
      <w:bookmarkStart w:id="0" w:name="_GoBack"/>
      <w:r>
        <w:rPr>
          <w:b/>
          <w:sz w:val="28"/>
          <w:szCs w:val="28"/>
          <w:lang w:val="en-GB"/>
        </w:rPr>
        <w:t xml:space="preserve">and calibration </w:t>
      </w:r>
      <w:bookmarkEnd w:id="0"/>
      <w:r>
        <w:rPr>
          <w:b/>
          <w:sz w:val="28"/>
          <w:szCs w:val="28"/>
          <w:lang w:val="en-GB"/>
        </w:rPr>
        <w:t xml:space="preserve">of a passive sampler based on diffusive gels for monitoring </w:t>
      </w:r>
      <w:r w:rsidR="00FF6A9C">
        <w:rPr>
          <w:b/>
          <w:sz w:val="28"/>
          <w:szCs w:val="28"/>
          <w:lang w:val="en-GB"/>
        </w:rPr>
        <w:t xml:space="preserve">of </w:t>
      </w:r>
      <w:r>
        <w:rPr>
          <w:b/>
          <w:sz w:val="28"/>
          <w:szCs w:val="28"/>
          <w:lang w:val="en-GB"/>
        </w:rPr>
        <w:t>polar organic compounds in water</w:t>
      </w:r>
    </w:p>
    <w:p w:rsidR="000B23AA" w:rsidRDefault="000B23AA" w:rsidP="000B23AA">
      <w:pPr>
        <w:spacing w:after="0"/>
        <w:rPr>
          <w:rFonts w:cs="Arial"/>
          <w:smallCaps/>
          <w:noProof/>
          <w:sz w:val="24"/>
          <w:szCs w:val="24"/>
          <w:lang w:val="en-GB"/>
        </w:rPr>
      </w:pPr>
      <w:r>
        <w:rPr>
          <w:rFonts w:cs="Arial"/>
          <w:smallCaps/>
          <w:noProof/>
          <w:sz w:val="24"/>
          <w:szCs w:val="24"/>
          <w:u w:val="single"/>
          <w:lang w:val="en-GB"/>
        </w:rPr>
        <w:t>Jakub Urík</w:t>
      </w:r>
      <w:r>
        <w:rPr>
          <w:rFonts w:cs="Arial"/>
          <w:smallCaps/>
          <w:noProof/>
          <w:sz w:val="24"/>
          <w:szCs w:val="24"/>
          <w:u w:val="single"/>
          <w:vertAlign w:val="superscript"/>
          <w:lang w:val="en-GB"/>
        </w:rPr>
        <w:t>1</w:t>
      </w:r>
      <w:r>
        <w:rPr>
          <w:rFonts w:cs="Arial"/>
          <w:smallCaps/>
          <w:noProof/>
          <w:sz w:val="24"/>
          <w:szCs w:val="24"/>
          <w:lang w:val="en-GB"/>
        </w:rPr>
        <w:t xml:space="preserve">; </w:t>
      </w:r>
      <w:r w:rsidR="00F376CD">
        <w:rPr>
          <w:rFonts w:cs="Arial"/>
          <w:smallCaps/>
          <w:noProof/>
          <w:sz w:val="24"/>
          <w:szCs w:val="24"/>
          <w:lang w:val="en-GB"/>
        </w:rPr>
        <w:t>Jitka Bečanová</w:t>
      </w:r>
      <w:r w:rsidR="00F376CD">
        <w:rPr>
          <w:rFonts w:cs="Arial"/>
          <w:smallCaps/>
          <w:noProof/>
          <w:sz w:val="24"/>
          <w:szCs w:val="24"/>
          <w:vertAlign w:val="superscript"/>
          <w:lang w:val="en-GB"/>
        </w:rPr>
        <w:t>1</w:t>
      </w:r>
      <w:r w:rsidR="00F376CD">
        <w:rPr>
          <w:rFonts w:cs="Arial"/>
          <w:smallCaps/>
          <w:noProof/>
          <w:sz w:val="24"/>
          <w:szCs w:val="24"/>
          <w:lang w:val="en-GB"/>
        </w:rPr>
        <w:t>;</w:t>
      </w:r>
      <w:r w:rsidR="00E87CB2" w:rsidRPr="00E87CB2">
        <w:rPr>
          <w:rFonts w:cs="Arial"/>
          <w:smallCaps/>
          <w:noProof/>
          <w:sz w:val="24"/>
          <w:szCs w:val="24"/>
          <w:lang w:val="en-GB"/>
        </w:rPr>
        <w:t xml:space="preserve"> </w:t>
      </w:r>
      <w:r w:rsidR="00E87CB2">
        <w:rPr>
          <w:rFonts w:cs="Arial"/>
          <w:smallCaps/>
          <w:noProof/>
          <w:sz w:val="24"/>
          <w:szCs w:val="24"/>
          <w:lang w:val="en-GB"/>
        </w:rPr>
        <w:t>Roman Grabic</w:t>
      </w:r>
      <w:r w:rsidR="00E87CB2">
        <w:rPr>
          <w:rFonts w:cs="Arial"/>
          <w:smallCaps/>
          <w:noProof/>
          <w:sz w:val="24"/>
          <w:szCs w:val="24"/>
          <w:vertAlign w:val="superscript"/>
          <w:lang w:val="en-GB"/>
        </w:rPr>
        <w:t>2</w:t>
      </w:r>
      <w:r w:rsidR="00E87CB2">
        <w:rPr>
          <w:rFonts w:cs="Arial"/>
          <w:smallCaps/>
          <w:noProof/>
          <w:sz w:val="24"/>
          <w:szCs w:val="24"/>
          <w:lang w:val="en-GB"/>
        </w:rPr>
        <w:t xml:space="preserve">; </w:t>
      </w:r>
      <w:r>
        <w:rPr>
          <w:rFonts w:cs="Arial"/>
          <w:smallCaps/>
          <w:noProof/>
          <w:sz w:val="24"/>
          <w:szCs w:val="24"/>
          <w:lang w:val="en-GB"/>
        </w:rPr>
        <w:t>Foppe Smedes</w:t>
      </w:r>
      <w:r>
        <w:rPr>
          <w:rFonts w:cs="Arial"/>
          <w:smallCaps/>
          <w:noProof/>
          <w:sz w:val="24"/>
          <w:szCs w:val="24"/>
          <w:vertAlign w:val="superscript"/>
          <w:lang w:val="en-GB"/>
        </w:rPr>
        <w:t>1</w:t>
      </w:r>
      <w:r>
        <w:rPr>
          <w:rFonts w:cs="Arial"/>
          <w:smallCaps/>
          <w:noProof/>
          <w:sz w:val="24"/>
          <w:szCs w:val="24"/>
          <w:lang w:val="en-GB"/>
        </w:rPr>
        <w:t>; Branislav Vrana</w:t>
      </w:r>
      <w:r>
        <w:rPr>
          <w:rFonts w:cs="Arial"/>
          <w:smallCaps/>
          <w:noProof/>
          <w:sz w:val="24"/>
          <w:szCs w:val="24"/>
          <w:vertAlign w:val="superscript"/>
          <w:lang w:val="en-GB"/>
        </w:rPr>
        <w:t>1</w:t>
      </w:r>
    </w:p>
    <w:p w:rsidR="00E87CB2" w:rsidRPr="00E87CB2" w:rsidRDefault="000B23AA" w:rsidP="000B23AA">
      <w:pPr>
        <w:spacing w:after="0"/>
        <w:rPr>
          <w:rFonts w:cs="Arial"/>
          <w:noProof/>
          <w:sz w:val="14"/>
          <w:szCs w:val="14"/>
          <w:lang w:val="en-GB"/>
        </w:rPr>
      </w:pPr>
      <w:r w:rsidRPr="00E87CB2">
        <w:rPr>
          <w:rFonts w:cs="Arial"/>
          <w:smallCaps/>
          <w:noProof/>
          <w:sz w:val="14"/>
          <w:szCs w:val="14"/>
          <w:vertAlign w:val="superscript"/>
          <w:lang w:val="en-GB"/>
        </w:rPr>
        <w:t>1</w:t>
      </w:r>
      <w:r w:rsidRPr="00E87CB2">
        <w:rPr>
          <w:rFonts w:cs="Arial"/>
          <w:noProof/>
          <w:sz w:val="14"/>
          <w:szCs w:val="14"/>
          <w:lang w:val="en-GB"/>
        </w:rPr>
        <w:t>Research Centre for Toxic Compounds in the Environment; Kamenice 753/5; 625 00 Brno; Czech Republic</w:t>
      </w:r>
    </w:p>
    <w:p w:rsidR="000B23AA" w:rsidRPr="00E87CB2" w:rsidRDefault="00E87CB2" w:rsidP="000B23AA">
      <w:pPr>
        <w:spacing w:after="0"/>
        <w:rPr>
          <w:rFonts w:cs="Arial"/>
          <w:noProof/>
          <w:sz w:val="14"/>
          <w:szCs w:val="14"/>
          <w:lang w:val="en-GB"/>
        </w:rPr>
      </w:pPr>
      <w:r w:rsidRPr="00E87CB2">
        <w:rPr>
          <w:rFonts w:cs="Arial"/>
          <w:smallCaps/>
          <w:noProof/>
          <w:sz w:val="14"/>
          <w:szCs w:val="14"/>
          <w:vertAlign w:val="superscript"/>
          <w:lang w:val="en-GB"/>
        </w:rPr>
        <w:t>2</w:t>
      </w:r>
      <w:r w:rsidRPr="00E87CB2">
        <w:rPr>
          <w:rFonts w:cs="Arial"/>
          <w:noProof/>
          <w:sz w:val="14"/>
          <w:szCs w:val="14"/>
          <w:lang w:val="en-GB"/>
        </w:rPr>
        <w:t>University of South Bohemia in České Budějovice, Faculty of Fisheries and Protection of Waters; Zátiší 728/II; 389 25 Vodňany; Czech Republic</w:t>
      </w:r>
    </w:p>
    <w:p w:rsidR="000B23AA" w:rsidRPr="00E87CB2" w:rsidRDefault="000B23AA" w:rsidP="000B23AA">
      <w:pPr>
        <w:spacing w:after="0"/>
        <w:rPr>
          <w:rFonts w:cs="Arial"/>
          <w:i/>
          <w:noProof/>
          <w:sz w:val="18"/>
          <w:szCs w:val="18"/>
          <w:lang w:val="en-GB"/>
        </w:rPr>
      </w:pPr>
      <w:r w:rsidRPr="00E87CB2">
        <w:rPr>
          <w:rFonts w:cs="Arial"/>
          <w:i/>
          <w:noProof/>
          <w:sz w:val="18"/>
          <w:szCs w:val="18"/>
          <w:lang w:val="en-GB"/>
        </w:rPr>
        <w:t>urik@recetox.muni.cz</w:t>
      </w:r>
    </w:p>
    <w:p w:rsidR="000B23AA" w:rsidRDefault="000B23AA" w:rsidP="000B23AA">
      <w:pPr>
        <w:pStyle w:val="Heading1"/>
        <w:spacing w:before="0"/>
        <w:rPr>
          <w:rFonts w:asciiTheme="minorHAnsi" w:hAnsiTheme="minorHAnsi" w:cs="Arial"/>
          <w:sz w:val="20"/>
          <w:szCs w:val="20"/>
          <w:lang w:val="en-GB"/>
        </w:rPr>
      </w:pPr>
    </w:p>
    <w:p w:rsidR="000B23AA" w:rsidRDefault="000B23AA" w:rsidP="000B23AA">
      <w:pPr>
        <w:spacing w:after="0"/>
        <w:ind w:firstLine="284"/>
        <w:jc w:val="both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Passive sampling is nowadays commonly used technique for monitoring of trace contaminants in all environmental matrices. In water, quantitative monitoring of polar compounds using adsorption-based passive samplers poses a challenge, since non-isotropic exchange kinetics prevents effective use of performance reference compounds (PRCs) commonly applied in partition</w:t>
      </w:r>
      <w:r w:rsidR="00F376CD">
        <w:rPr>
          <w:rFonts w:cs="Arial"/>
          <w:sz w:val="20"/>
          <w:szCs w:val="20"/>
          <w:lang w:val="en-GB"/>
        </w:rPr>
        <w:t>ing-</w:t>
      </w:r>
      <w:r>
        <w:rPr>
          <w:rFonts w:cs="Arial"/>
          <w:sz w:val="20"/>
          <w:szCs w:val="20"/>
          <w:lang w:val="en-GB"/>
        </w:rPr>
        <w:t>based samplers. Concentrations of polar organic compounds in waters acquired by currently mostly used passive samplers</w:t>
      </w:r>
      <w:r w:rsidR="00524543">
        <w:rPr>
          <w:rFonts w:cs="Arial"/>
          <w:sz w:val="20"/>
          <w:szCs w:val="20"/>
          <w:lang w:val="en-GB"/>
        </w:rPr>
        <w:t>,</w:t>
      </w:r>
      <w:r>
        <w:rPr>
          <w:rFonts w:cs="Arial"/>
          <w:sz w:val="20"/>
          <w:szCs w:val="20"/>
          <w:lang w:val="en-GB"/>
        </w:rPr>
        <w:t xml:space="preserve"> such as POCIS</w:t>
      </w:r>
      <w:r w:rsidR="00524543">
        <w:rPr>
          <w:rFonts w:cs="Arial"/>
          <w:sz w:val="20"/>
          <w:szCs w:val="20"/>
          <w:lang w:val="en-GB"/>
        </w:rPr>
        <w:t>,</w:t>
      </w:r>
      <w:r>
        <w:rPr>
          <w:rFonts w:cs="Arial"/>
          <w:sz w:val="20"/>
          <w:szCs w:val="20"/>
          <w:lang w:val="en-GB"/>
        </w:rPr>
        <w:t xml:space="preserve"> are </w:t>
      </w:r>
      <w:proofErr w:type="spellStart"/>
      <w:r>
        <w:rPr>
          <w:rFonts w:cs="Arial"/>
          <w:sz w:val="20"/>
          <w:szCs w:val="20"/>
          <w:lang w:val="en-GB"/>
        </w:rPr>
        <w:t>semiquantitative</w:t>
      </w:r>
      <w:proofErr w:type="spellEnd"/>
      <w:r>
        <w:rPr>
          <w:rFonts w:cs="Arial"/>
          <w:sz w:val="20"/>
          <w:szCs w:val="20"/>
          <w:lang w:val="en-GB"/>
        </w:rPr>
        <w:t xml:space="preserve">, due to a strong dependence of uptake rates on the variable hydrodynamic conditions and/or sorption of </w:t>
      </w:r>
      <w:proofErr w:type="spellStart"/>
      <w:r>
        <w:rPr>
          <w:rFonts w:cs="Arial"/>
          <w:sz w:val="20"/>
          <w:szCs w:val="20"/>
          <w:lang w:val="en-GB"/>
        </w:rPr>
        <w:t>analytes</w:t>
      </w:r>
      <w:proofErr w:type="spellEnd"/>
      <w:r>
        <w:rPr>
          <w:rFonts w:cs="Arial"/>
          <w:sz w:val="20"/>
          <w:szCs w:val="20"/>
          <w:lang w:val="en-GB"/>
        </w:rPr>
        <w:t xml:space="preserve"> to the membrane material separating the sorbent from the aqueous phase. Sampling rates acquired by laboratory calibrations may therefore differ from the actual sampling rates in the field. Recently, a novel sampler based on DGT shows a great potential and has already been successfully used in sampling of different polar compounds in waters and soils </w:t>
      </w:r>
      <w:r>
        <w:rPr>
          <w:rFonts w:cs="Arial"/>
          <w:noProof/>
          <w:sz w:val="20"/>
          <w:szCs w:val="20"/>
          <w:lang w:val="en-GB"/>
        </w:rPr>
        <w:t>(</w:t>
      </w:r>
      <w:r>
        <w:rPr>
          <w:rFonts w:cs="Arial"/>
          <w:smallCaps/>
          <w:noProof/>
          <w:sz w:val="20"/>
          <w:szCs w:val="20"/>
          <w:lang w:val="en-GB"/>
        </w:rPr>
        <w:t xml:space="preserve">Chen et al. </w:t>
      </w:r>
      <w:r>
        <w:rPr>
          <w:rFonts w:cs="Arial"/>
          <w:noProof/>
          <w:sz w:val="20"/>
          <w:szCs w:val="20"/>
          <w:lang w:val="en-GB"/>
        </w:rPr>
        <w:t>2012)</w:t>
      </w:r>
      <w:r>
        <w:rPr>
          <w:rFonts w:cs="Arial"/>
          <w:sz w:val="20"/>
          <w:szCs w:val="20"/>
          <w:lang w:val="en-GB"/>
        </w:rPr>
        <w:t xml:space="preserve">. </w:t>
      </w:r>
      <w:r w:rsidR="00DB2A5B" w:rsidRPr="00DB2A5B">
        <w:rPr>
          <w:rFonts w:cs="Arial"/>
          <w:sz w:val="20"/>
          <w:szCs w:val="20"/>
          <w:lang w:val="en-GB"/>
        </w:rPr>
        <w:t>In this so-called o-DGT</w:t>
      </w:r>
      <w:r w:rsidR="00DB2A5B">
        <w:rPr>
          <w:rFonts w:cs="Arial"/>
          <w:sz w:val="20"/>
          <w:szCs w:val="20"/>
          <w:lang w:val="en-GB"/>
        </w:rPr>
        <w:t xml:space="preserve"> sampler,</w:t>
      </w:r>
      <w:r w:rsidR="00DB2A5B" w:rsidRPr="00DB2A5B">
        <w:rPr>
          <w:rFonts w:cs="Arial"/>
          <w:sz w:val="20"/>
          <w:szCs w:val="20"/>
          <w:lang w:val="en-GB"/>
        </w:rPr>
        <w:t xml:space="preserve"> the sorbent containing </w:t>
      </w:r>
      <w:r w:rsidR="00DB2A5B">
        <w:rPr>
          <w:rFonts w:cs="Arial"/>
          <w:sz w:val="20"/>
          <w:szCs w:val="20"/>
          <w:lang w:val="en-GB"/>
        </w:rPr>
        <w:t>gel</w:t>
      </w:r>
      <w:r w:rsidR="00DB2A5B" w:rsidRPr="00DB2A5B">
        <w:rPr>
          <w:rFonts w:cs="Arial"/>
          <w:sz w:val="20"/>
          <w:szCs w:val="20"/>
          <w:lang w:val="en-GB"/>
        </w:rPr>
        <w:t xml:space="preserve"> is covered with a hydrogel diffusion layer that behaves as an immobilized water layer. This layer </w:t>
      </w:r>
      <w:r w:rsidR="00DB2A5B">
        <w:rPr>
          <w:rFonts w:cs="Arial"/>
          <w:sz w:val="20"/>
          <w:szCs w:val="20"/>
          <w:lang w:val="en-GB"/>
        </w:rPr>
        <w:t xml:space="preserve">may </w:t>
      </w:r>
      <w:r w:rsidR="00DB2A5B" w:rsidRPr="00DB2A5B">
        <w:rPr>
          <w:rFonts w:cs="Arial"/>
          <w:sz w:val="20"/>
          <w:szCs w:val="20"/>
          <w:lang w:val="en-GB"/>
        </w:rPr>
        <w:t xml:space="preserve">help to </w:t>
      </w:r>
      <w:r w:rsidR="00DB2A5B">
        <w:rPr>
          <w:rFonts w:cs="Arial"/>
          <w:sz w:val="20"/>
          <w:szCs w:val="20"/>
          <w:lang w:val="en-GB"/>
        </w:rPr>
        <w:t xml:space="preserve">control the </w:t>
      </w:r>
      <w:proofErr w:type="spellStart"/>
      <w:r w:rsidR="00DB2A5B">
        <w:rPr>
          <w:rFonts w:cs="Arial"/>
          <w:sz w:val="20"/>
          <w:szCs w:val="20"/>
          <w:lang w:val="en-GB"/>
        </w:rPr>
        <w:t>analyte</w:t>
      </w:r>
      <w:proofErr w:type="spellEnd"/>
      <w:r w:rsidR="00DB2A5B">
        <w:rPr>
          <w:rFonts w:cs="Arial"/>
          <w:sz w:val="20"/>
          <w:szCs w:val="20"/>
          <w:lang w:val="en-GB"/>
        </w:rPr>
        <w:t xml:space="preserve"> uptake rate, </w:t>
      </w:r>
      <w:r w:rsidR="00DB2A5B" w:rsidRPr="00DB2A5B">
        <w:rPr>
          <w:rFonts w:cs="Arial"/>
          <w:sz w:val="20"/>
          <w:szCs w:val="20"/>
          <w:lang w:val="en-GB"/>
        </w:rPr>
        <w:t>eliminating the effect of hydrodynamic conditions.</w:t>
      </w:r>
    </w:p>
    <w:p w:rsidR="000B23AA" w:rsidRDefault="000B23AA" w:rsidP="000B23AA">
      <w:pPr>
        <w:spacing w:after="0"/>
        <w:ind w:firstLine="284"/>
        <w:jc w:val="both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In our work, the applicability of agarose hydrogel has been tested for its suitability as a diffusion medium for several pesticides, pharmaceuticals and </w:t>
      </w:r>
      <w:proofErr w:type="spellStart"/>
      <w:r>
        <w:rPr>
          <w:rFonts w:cs="Arial"/>
          <w:sz w:val="20"/>
          <w:szCs w:val="20"/>
          <w:lang w:val="en-GB"/>
        </w:rPr>
        <w:t>perfluorinated</w:t>
      </w:r>
      <w:proofErr w:type="spellEnd"/>
      <w:r>
        <w:rPr>
          <w:rFonts w:cs="Arial"/>
          <w:sz w:val="20"/>
          <w:szCs w:val="20"/>
          <w:lang w:val="en-GB"/>
        </w:rPr>
        <w:t xml:space="preserve"> compounds by measuring </w:t>
      </w:r>
      <w:proofErr w:type="spellStart"/>
      <w:r>
        <w:rPr>
          <w:rFonts w:cs="Arial"/>
          <w:sz w:val="20"/>
          <w:szCs w:val="20"/>
          <w:lang w:val="en-GB"/>
        </w:rPr>
        <w:t>analyte</w:t>
      </w:r>
      <w:proofErr w:type="spellEnd"/>
      <w:r>
        <w:rPr>
          <w:rFonts w:cs="Arial"/>
          <w:sz w:val="20"/>
          <w:szCs w:val="20"/>
          <w:lang w:val="en-GB"/>
        </w:rPr>
        <w:t xml:space="preserve"> diffusion coefficients and their possible sorption to hydrogels. Then, using the o-DGT design without a membrane, a laboratory uptake study has been conducted for broad spectrum of polar sub</w:t>
      </w:r>
      <w:r w:rsidR="00010C90">
        <w:rPr>
          <w:rFonts w:cs="Arial"/>
          <w:sz w:val="20"/>
          <w:szCs w:val="20"/>
          <w:lang w:val="en-GB"/>
        </w:rPr>
        <w:t xml:space="preserve">stances, such as </w:t>
      </w:r>
      <w:proofErr w:type="spellStart"/>
      <w:r w:rsidR="00010C90">
        <w:rPr>
          <w:rFonts w:cs="Arial"/>
          <w:sz w:val="20"/>
          <w:szCs w:val="20"/>
          <w:lang w:val="en-GB"/>
        </w:rPr>
        <w:t>perfluorinated</w:t>
      </w:r>
      <w:proofErr w:type="spellEnd"/>
      <w:r w:rsidR="00010C90">
        <w:rPr>
          <w:rFonts w:cs="Arial"/>
          <w:sz w:val="20"/>
          <w:szCs w:val="20"/>
          <w:lang w:val="en-GB"/>
        </w:rPr>
        <w:t xml:space="preserve"> </w:t>
      </w:r>
      <w:r>
        <w:rPr>
          <w:rFonts w:cs="Arial"/>
          <w:sz w:val="20"/>
          <w:szCs w:val="20"/>
          <w:lang w:val="en-GB"/>
        </w:rPr>
        <w:t>compounds, currently used pesticides and pharmaceuticals. However, the sampling rates of a sampler design with an active surface area of 3.14 cm</w:t>
      </w:r>
      <w:r>
        <w:rPr>
          <w:rFonts w:cs="Arial"/>
          <w:sz w:val="20"/>
          <w:szCs w:val="20"/>
          <w:vertAlign w:val="superscript"/>
          <w:lang w:val="en-GB"/>
        </w:rPr>
        <w:t>2</w:t>
      </w:r>
      <w:r>
        <w:rPr>
          <w:rFonts w:cs="Arial"/>
          <w:sz w:val="20"/>
          <w:szCs w:val="20"/>
          <w:lang w:val="en-GB"/>
        </w:rPr>
        <w:t xml:space="preserve"> turned out to be too low for practical us</w:t>
      </w:r>
      <w:r w:rsidR="008E2362">
        <w:rPr>
          <w:rFonts w:cs="Arial"/>
          <w:sz w:val="20"/>
          <w:szCs w:val="20"/>
          <w:lang w:val="en-GB"/>
        </w:rPr>
        <w:t>age</w:t>
      </w:r>
      <w:r>
        <w:rPr>
          <w:rFonts w:cs="Arial"/>
          <w:sz w:val="20"/>
          <w:szCs w:val="20"/>
          <w:lang w:val="en-GB"/>
        </w:rPr>
        <w:t>, therefore a new design was used, wit</w:t>
      </w:r>
      <w:r w:rsidR="00D772E9">
        <w:rPr>
          <w:rFonts w:cs="Arial"/>
          <w:sz w:val="20"/>
          <w:szCs w:val="20"/>
          <w:lang w:val="en-GB"/>
        </w:rPr>
        <w:t>h an increased surface area of 22,7</w:t>
      </w:r>
      <w:r>
        <w:rPr>
          <w:rFonts w:cs="Arial"/>
          <w:sz w:val="20"/>
          <w:szCs w:val="20"/>
          <w:lang w:val="en-GB"/>
        </w:rPr>
        <w:t xml:space="preserve"> cm</w:t>
      </w:r>
      <w:r>
        <w:rPr>
          <w:rFonts w:cs="Arial"/>
          <w:sz w:val="20"/>
          <w:szCs w:val="20"/>
          <w:vertAlign w:val="superscript"/>
          <w:lang w:val="en-GB"/>
        </w:rPr>
        <w:t>2</w:t>
      </w:r>
      <w:r>
        <w:rPr>
          <w:rFonts w:cs="Arial"/>
          <w:sz w:val="20"/>
          <w:szCs w:val="20"/>
          <w:lang w:val="en-GB"/>
        </w:rPr>
        <w:t>. A </w:t>
      </w:r>
      <w:proofErr w:type="spellStart"/>
      <w:r>
        <w:rPr>
          <w:rFonts w:cs="Arial"/>
          <w:sz w:val="20"/>
          <w:szCs w:val="20"/>
          <w:lang w:val="en-GB"/>
        </w:rPr>
        <w:t>sorptive</w:t>
      </w:r>
      <w:proofErr w:type="spellEnd"/>
      <w:r>
        <w:rPr>
          <w:rFonts w:cs="Arial"/>
          <w:sz w:val="20"/>
          <w:szCs w:val="20"/>
          <w:lang w:val="en-GB"/>
        </w:rPr>
        <w:t xml:space="preserve"> gel and diffusive gel layers strengthened by </w:t>
      </w:r>
      <w:proofErr w:type="gramStart"/>
      <w:r>
        <w:rPr>
          <w:rFonts w:cs="Arial"/>
          <w:sz w:val="20"/>
          <w:szCs w:val="20"/>
          <w:lang w:val="en-GB"/>
        </w:rPr>
        <w:t>a</w:t>
      </w:r>
      <w:r w:rsidR="008E2362">
        <w:rPr>
          <w:rFonts w:cs="Arial"/>
          <w:sz w:val="20"/>
          <w:szCs w:val="20"/>
          <w:lang w:val="en-GB"/>
        </w:rPr>
        <w:t> </w:t>
      </w:r>
      <w:r>
        <w:rPr>
          <w:rFonts w:cs="Arial"/>
          <w:sz w:val="20"/>
          <w:szCs w:val="20"/>
          <w:lang w:val="en-GB"/>
        </w:rPr>
        <w:t>nylon</w:t>
      </w:r>
      <w:proofErr w:type="gramEnd"/>
      <w:r>
        <w:rPr>
          <w:rFonts w:cs="Arial"/>
          <w:sz w:val="20"/>
          <w:szCs w:val="20"/>
          <w:lang w:val="en-GB"/>
        </w:rPr>
        <w:t xml:space="preserve"> mesh netting are enclosed between two metal rings, creating two sided gel-gel sampler with </w:t>
      </w:r>
      <w:r w:rsidR="00E06870">
        <w:rPr>
          <w:rFonts w:cs="Arial"/>
          <w:sz w:val="20"/>
          <w:szCs w:val="20"/>
          <w:lang w:val="en-GB"/>
        </w:rPr>
        <w:t>more than seven</w:t>
      </w:r>
      <w:r>
        <w:rPr>
          <w:rFonts w:cs="Arial"/>
          <w:sz w:val="20"/>
          <w:szCs w:val="20"/>
          <w:lang w:val="en-GB"/>
        </w:rPr>
        <w:t xml:space="preserve"> times higher sampling area compared to o-DGT. This sampler design has been </w:t>
      </w:r>
      <w:r w:rsidR="009247E4">
        <w:rPr>
          <w:rFonts w:cs="Arial"/>
          <w:sz w:val="20"/>
          <w:szCs w:val="20"/>
          <w:lang w:val="en-GB"/>
        </w:rPr>
        <w:t xml:space="preserve">successfully </w:t>
      </w:r>
      <w:r>
        <w:rPr>
          <w:rFonts w:cs="Arial"/>
          <w:sz w:val="20"/>
          <w:szCs w:val="20"/>
          <w:lang w:val="en-GB"/>
        </w:rPr>
        <w:t xml:space="preserve">tested on </w:t>
      </w:r>
      <w:proofErr w:type="spellStart"/>
      <w:r>
        <w:rPr>
          <w:rFonts w:cs="Arial"/>
          <w:sz w:val="20"/>
          <w:szCs w:val="20"/>
          <w:lang w:val="en-GB"/>
        </w:rPr>
        <w:t>Svratka</w:t>
      </w:r>
      <w:proofErr w:type="spellEnd"/>
      <w:r>
        <w:rPr>
          <w:rFonts w:cs="Arial"/>
          <w:sz w:val="20"/>
          <w:szCs w:val="20"/>
          <w:lang w:val="en-GB"/>
        </w:rPr>
        <w:t xml:space="preserve"> </w:t>
      </w:r>
      <w:r w:rsidR="008E2362">
        <w:rPr>
          <w:rFonts w:cs="Arial"/>
          <w:sz w:val="20"/>
          <w:szCs w:val="20"/>
          <w:lang w:val="en-GB"/>
        </w:rPr>
        <w:t>R</w:t>
      </w:r>
      <w:r>
        <w:rPr>
          <w:rFonts w:cs="Arial"/>
          <w:sz w:val="20"/>
          <w:szCs w:val="20"/>
          <w:lang w:val="en-GB"/>
        </w:rPr>
        <w:t xml:space="preserve">iver close to Brno, Czech </w:t>
      </w:r>
      <w:r w:rsidR="008E2362">
        <w:rPr>
          <w:rFonts w:cs="Arial"/>
          <w:sz w:val="20"/>
          <w:szCs w:val="20"/>
          <w:lang w:val="en-GB"/>
        </w:rPr>
        <w:t>R</w:t>
      </w:r>
      <w:r>
        <w:rPr>
          <w:rFonts w:cs="Arial"/>
          <w:sz w:val="20"/>
          <w:szCs w:val="20"/>
          <w:lang w:val="en-GB"/>
        </w:rPr>
        <w:t xml:space="preserve">epublic, alongside composite water sampling. Results of the field testing </w:t>
      </w:r>
      <w:r w:rsidR="009247E4">
        <w:rPr>
          <w:rFonts w:cs="Arial"/>
          <w:sz w:val="20"/>
          <w:szCs w:val="20"/>
          <w:lang w:val="en-GB"/>
        </w:rPr>
        <w:t xml:space="preserve">prove that the novel design is suitable for monitoring of polar </w:t>
      </w:r>
      <w:r w:rsidR="00F56041">
        <w:rPr>
          <w:rFonts w:cs="Arial"/>
          <w:sz w:val="20"/>
          <w:szCs w:val="20"/>
          <w:lang w:val="en-GB"/>
        </w:rPr>
        <w:t xml:space="preserve">organic </w:t>
      </w:r>
      <w:r w:rsidR="009247E4">
        <w:rPr>
          <w:rFonts w:cs="Arial"/>
          <w:sz w:val="20"/>
          <w:szCs w:val="20"/>
          <w:lang w:val="en-GB"/>
        </w:rPr>
        <w:t>compounds</w:t>
      </w:r>
      <w:r w:rsidR="00F56041">
        <w:rPr>
          <w:rFonts w:cs="Arial"/>
          <w:sz w:val="20"/>
          <w:szCs w:val="20"/>
          <w:lang w:val="en-GB"/>
        </w:rPr>
        <w:t xml:space="preserve"> in water</w:t>
      </w:r>
      <w:r>
        <w:rPr>
          <w:rFonts w:cs="Arial"/>
          <w:sz w:val="20"/>
          <w:szCs w:val="20"/>
          <w:lang w:val="en-GB"/>
        </w:rPr>
        <w:t>.</w:t>
      </w:r>
    </w:p>
    <w:p w:rsidR="000B23AA" w:rsidRDefault="000B23AA" w:rsidP="000B23AA">
      <w:pPr>
        <w:spacing w:after="0"/>
        <w:ind w:firstLine="284"/>
        <w:jc w:val="both"/>
        <w:rPr>
          <w:rFonts w:cs="Arial"/>
          <w:sz w:val="20"/>
          <w:szCs w:val="20"/>
          <w:lang w:val="en-GB"/>
        </w:rPr>
      </w:pPr>
    </w:p>
    <w:p w:rsidR="000B23AA" w:rsidRDefault="000B23AA" w:rsidP="000B23AA">
      <w:pPr>
        <w:spacing w:after="0"/>
        <w:ind w:firstLine="284"/>
        <w:jc w:val="both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References</w:t>
      </w:r>
    </w:p>
    <w:p w:rsidR="000B23AA" w:rsidRDefault="000B23AA" w:rsidP="000B23AA">
      <w:pPr>
        <w:spacing w:after="0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 xml:space="preserve">Chen C.-E., Zhang H., and Jones K. C., A novel passive water sampler for in situ sampling of </w:t>
      </w:r>
      <w:proofErr w:type="gramStart"/>
      <w:r>
        <w:rPr>
          <w:rFonts w:cs="Arial"/>
          <w:sz w:val="18"/>
          <w:szCs w:val="18"/>
          <w:lang w:val="en-GB"/>
        </w:rPr>
        <w:t>antibiotics.,</w:t>
      </w:r>
      <w:proofErr w:type="gramEnd"/>
      <w:r>
        <w:rPr>
          <w:rFonts w:cs="Arial"/>
          <w:sz w:val="18"/>
          <w:szCs w:val="18"/>
          <w:lang w:val="en-GB"/>
        </w:rPr>
        <w:t xml:space="preserve"> J. Environ. </w:t>
      </w:r>
      <w:proofErr w:type="spellStart"/>
      <w:proofErr w:type="gramStart"/>
      <w:r>
        <w:rPr>
          <w:rFonts w:cs="Arial"/>
          <w:sz w:val="18"/>
          <w:szCs w:val="18"/>
          <w:lang w:val="en-GB"/>
        </w:rPr>
        <w:t>Monit</w:t>
      </w:r>
      <w:proofErr w:type="spellEnd"/>
      <w:r>
        <w:rPr>
          <w:rFonts w:cs="Arial"/>
          <w:sz w:val="18"/>
          <w:szCs w:val="18"/>
          <w:lang w:val="en-GB"/>
        </w:rPr>
        <w:t>.,</w:t>
      </w:r>
      <w:proofErr w:type="gramEnd"/>
      <w:r>
        <w:rPr>
          <w:rFonts w:cs="Arial"/>
          <w:sz w:val="18"/>
          <w:szCs w:val="18"/>
          <w:lang w:val="en-GB"/>
        </w:rPr>
        <w:t xml:space="preserve"> 2012, 14, 1523–30.</w:t>
      </w:r>
    </w:p>
    <w:p w:rsidR="000B23AA" w:rsidRDefault="000B23AA" w:rsidP="000B23AA">
      <w:pPr>
        <w:spacing w:after="0"/>
        <w:ind w:firstLine="284"/>
        <w:jc w:val="both"/>
        <w:rPr>
          <w:rFonts w:cs="Arial"/>
          <w:sz w:val="20"/>
          <w:szCs w:val="20"/>
          <w:lang w:val="en-GB"/>
        </w:rPr>
      </w:pPr>
    </w:p>
    <w:p w:rsidR="000B23AA" w:rsidRDefault="000B23AA" w:rsidP="000B23AA">
      <w:pPr>
        <w:spacing w:after="0"/>
        <w:ind w:firstLine="284"/>
        <w:jc w:val="both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Acknowledgements</w:t>
      </w:r>
    </w:p>
    <w:p w:rsidR="000B23AA" w:rsidRDefault="000B23AA" w:rsidP="000B23AA">
      <w:pPr>
        <w:spacing w:after="0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The project (TB030MZP001/EMERTOX) received financial support from the Technology Agency of the Czech Republic (TACR). The RECETOX research infrastructure was supported by the projects of the Czech Ministry of Education (LO1214) and (LM2011028).</w:t>
      </w:r>
    </w:p>
    <w:p w:rsidR="000B23AA" w:rsidRDefault="000B23AA" w:rsidP="000B23AA">
      <w:pPr>
        <w:rPr>
          <w:lang w:val="en-GB"/>
        </w:rPr>
      </w:pPr>
    </w:p>
    <w:p w:rsidR="000B23AA" w:rsidRPr="003D3F0C" w:rsidRDefault="000B23AA" w:rsidP="000B23AA">
      <w:pPr>
        <w:rPr>
          <w:lang w:val="en-GB"/>
        </w:rPr>
      </w:pPr>
    </w:p>
    <w:p w:rsidR="0053212E" w:rsidRPr="000B23AA" w:rsidRDefault="0053212E">
      <w:pPr>
        <w:rPr>
          <w:lang w:val="en-GB"/>
        </w:rPr>
      </w:pPr>
    </w:p>
    <w:sectPr w:rsidR="0053212E" w:rsidRPr="000B23AA" w:rsidSect="00532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>
    <w:useFELayout/>
  </w:compat>
  <w:rsids>
    <w:rsidRoot w:val="000B23AA"/>
    <w:rsid w:val="00010C90"/>
    <w:rsid w:val="000B23AA"/>
    <w:rsid w:val="00185D2E"/>
    <w:rsid w:val="001F5E94"/>
    <w:rsid w:val="00386EC2"/>
    <w:rsid w:val="003D7FFD"/>
    <w:rsid w:val="0051298F"/>
    <w:rsid w:val="00524543"/>
    <w:rsid w:val="0053212E"/>
    <w:rsid w:val="0058570A"/>
    <w:rsid w:val="006D57FE"/>
    <w:rsid w:val="007E49AB"/>
    <w:rsid w:val="008C6EC6"/>
    <w:rsid w:val="008E2362"/>
    <w:rsid w:val="009247E4"/>
    <w:rsid w:val="0094104D"/>
    <w:rsid w:val="00A16F14"/>
    <w:rsid w:val="00B043DC"/>
    <w:rsid w:val="00B33EF1"/>
    <w:rsid w:val="00B7028B"/>
    <w:rsid w:val="00C93746"/>
    <w:rsid w:val="00D772E9"/>
    <w:rsid w:val="00DB2A5B"/>
    <w:rsid w:val="00E06870"/>
    <w:rsid w:val="00E640AD"/>
    <w:rsid w:val="00E87CB2"/>
    <w:rsid w:val="00F1618D"/>
    <w:rsid w:val="00F376CD"/>
    <w:rsid w:val="00F56041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3DC"/>
  </w:style>
  <w:style w:type="paragraph" w:styleId="Heading1">
    <w:name w:val="heading 1"/>
    <w:basedOn w:val="Normal"/>
    <w:next w:val="Normal"/>
    <w:link w:val="Heading1Char"/>
    <w:uiPriority w:val="9"/>
    <w:qFormat/>
    <w:rsid w:val="000B23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3AA"/>
    <w:rPr>
      <w:rFonts w:ascii="Tahoma" w:hAnsi="Tahoma" w:cs="Tahoma"/>
      <w:sz w:val="16"/>
      <w:szCs w:val="16"/>
      <w:lang w:val="cs-CZ"/>
    </w:rPr>
  </w:style>
  <w:style w:type="character" w:styleId="Hyperlink">
    <w:name w:val="Hyperlink"/>
    <w:basedOn w:val="DefaultParagraphFont"/>
    <w:uiPriority w:val="99"/>
    <w:unhideWhenUsed/>
    <w:rsid w:val="00E87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3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3AA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Baka</dc:creator>
  <cp:lastModifiedBy>Baka</cp:lastModifiedBy>
  <cp:revision>5</cp:revision>
  <dcterms:created xsi:type="dcterms:W3CDTF">2017-01-12T11:10:00Z</dcterms:created>
  <dcterms:modified xsi:type="dcterms:W3CDTF">2017-01-12T11:20:00Z</dcterms:modified>
</cp:coreProperties>
</file>