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888" w:rsidRPr="008579BC" w:rsidRDefault="005B2E3F" w:rsidP="005B2E3F">
      <w:pPr>
        <w:jc w:val="center"/>
        <w:rPr>
          <w:rStyle w:val="Nzevknihy"/>
          <w:rFonts w:ascii="Arial" w:hAnsi="Arial" w:cs="Arial"/>
          <w:sz w:val="28"/>
          <w:szCs w:val="28"/>
          <w:lang w:val="en-US"/>
        </w:rPr>
      </w:pPr>
      <w:bookmarkStart w:id="0" w:name="_GoBack"/>
      <w:bookmarkEnd w:id="0"/>
      <w:r w:rsidRPr="008579BC">
        <w:rPr>
          <w:rStyle w:val="Nzevknihy"/>
          <w:rFonts w:ascii="Arial" w:hAnsi="Arial" w:cs="Arial"/>
          <w:sz w:val="28"/>
          <w:szCs w:val="28"/>
          <w:lang w:val="en-US"/>
        </w:rPr>
        <w:t xml:space="preserve">Organophosphate Flame Retardants in the Indoor Environment: </w:t>
      </w:r>
      <w:r w:rsidRPr="008579BC">
        <w:rPr>
          <w:rStyle w:val="Nzevknihy"/>
          <w:rFonts w:ascii="Arial" w:hAnsi="Arial" w:cs="Arial"/>
          <w:sz w:val="28"/>
          <w:szCs w:val="28"/>
          <w:lang w:val="en-US"/>
        </w:rPr>
        <w:br/>
        <w:t>a Comparison of Central Europe and North America</w:t>
      </w:r>
    </w:p>
    <w:p w:rsidR="005B2E3F" w:rsidRPr="008579BC" w:rsidRDefault="00E929BF" w:rsidP="005B2E3F">
      <w:pPr>
        <w:jc w:val="center"/>
        <w:rPr>
          <w:rFonts w:ascii="Arial" w:hAnsi="Arial" w:cs="Arial"/>
          <w:kern w:val="24"/>
          <w:position w:val="10"/>
          <w:lang w:val="en-US"/>
        </w:rPr>
      </w:pPr>
      <w:r w:rsidRPr="008579BC">
        <w:rPr>
          <w:rFonts w:ascii="Arial" w:hAnsi="Arial" w:cs="Arial"/>
          <w:kern w:val="24"/>
          <w:u w:val="single"/>
          <w:lang w:val="en-US"/>
        </w:rPr>
        <w:t xml:space="preserve">Martina </w:t>
      </w:r>
      <w:proofErr w:type="spellStart"/>
      <w:r w:rsidRPr="008579BC">
        <w:rPr>
          <w:rFonts w:ascii="Arial" w:hAnsi="Arial" w:cs="Arial"/>
          <w:kern w:val="24"/>
          <w:u w:val="single"/>
          <w:lang w:val="en-US"/>
        </w:rPr>
        <w:t>Vykoukalová</w:t>
      </w:r>
      <w:proofErr w:type="spellEnd"/>
      <w:r w:rsidR="005B2E3F" w:rsidRPr="008579BC">
        <w:rPr>
          <w:rFonts w:ascii="Arial" w:hAnsi="Arial" w:cs="Arial"/>
          <w:kern w:val="24"/>
          <w:position w:val="10"/>
          <w:vertAlign w:val="superscript"/>
          <w:lang w:val="en-US"/>
        </w:rPr>
        <w:t>1</w:t>
      </w:r>
      <w:r w:rsidR="005B2E3F" w:rsidRPr="008579BC">
        <w:rPr>
          <w:rFonts w:ascii="Arial" w:hAnsi="Arial" w:cs="Arial"/>
          <w:kern w:val="24"/>
          <w:lang w:val="en-US"/>
        </w:rPr>
        <w:t>,</w:t>
      </w:r>
      <w:r w:rsidR="00CA0C13" w:rsidRPr="008579BC">
        <w:rPr>
          <w:rFonts w:ascii="Arial" w:hAnsi="Arial" w:cs="Arial"/>
          <w:kern w:val="24"/>
          <w:lang w:val="en-US"/>
        </w:rPr>
        <w:t xml:space="preserve"> Marta </w:t>
      </w:r>
      <w:proofErr w:type="spellStart"/>
      <w:r w:rsidR="00CA0C13" w:rsidRPr="008579BC">
        <w:rPr>
          <w:rFonts w:ascii="Arial" w:hAnsi="Arial" w:cs="Arial"/>
          <w:kern w:val="24"/>
          <w:lang w:val="en-US"/>
        </w:rPr>
        <w:t>Venier</w:t>
      </w:r>
      <w:proofErr w:type="spellEnd"/>
      <w:r w:rsidR="00CA0C13" w:rsidRPr="008579BC">
        <w:rPr>
          <w:rFonts w:ascii="Arial" w:hAnsi="Arial" w:cs="Arial"/>
          <w:kern w:val="24"/>
          <w:position w:val="10"/>
          <w:vertAlign w:val="superscript"/>
          <w:lang w:val="en-US"/>
        </w:rPr>
        <w:t>2</w:t>
      </w:r>
      <w:r w:rsidR="00CA0C13" w:rsidRPr="008579BC">
        <w:rPr>
          <w:rFonts w:ascii="Arial" w:hAnsi="Arial" w:cs="Arial"/>
          <w:kern w:val="24"/>
          <w:lang w:val="en-US"/>
        </w:rPr>
        <w:t>,</w:t>
      </w:r>
      <w:r w:rsidR="005B2E3F" w:rsidRPr="008579BC">
        <w:rPr>
          <w:rFonts w:ascii="Arial" w:hAnsi="Arial" w:cs="Arial"/>
          <w:kern w:val="24"/>
          <w:lang w:val="en-US"/>
        </w:rPr>
        <w:t xml:space="preserve"> </w:t>
      </w:r>
      <w:proofErr w:type="spellStart"/>
      <w:r w:rsidR="005B2E3F" w:rsidRPr="008579BC">
        <w:rPr>
          <w:rFonts w:ascii="Arial" w:hAnsi="Arial" w:cs="Arial"/>
          <w:kern w:val="24"/>
          <w:lang w:val="en-US"/>
        </w:rPr>
        <w:t>Šimon</w:t>
      </w:r>
      <w:proofErr w:type="spellEnd"/>
      <w:r w:rsidR="005B2E3F" w:rsidRPr="008579BC">
        <w:rPr>
          <w:rFonts w:ascii="Arial" w:hAnsi="Arial" w:cs="Arial"/>
          <w:kern w:val="24"/>
          <w:lang w:val="en-US"/>
        </w:rPr>
        <w:t xml:space="preserve"> </w:t>
      </w:r>
      <w:proofErr w:type="spellStart"/>
      <w:r w:rsidR="005B2E3F" w:rsidRPr="008579BC">
        <w:rPr>
          <w:rFonts w:ascii="Arial" w:hAnsi="Arial" w:cs="Arial"/>
          <w:kern w:val="24"/>
          <w:lang w:val="en-US"/>
        </w:rPr>
        <w:t>Vojta</w:t>
      </w:r>
      <w:proofErr w:type="spellEnd"/>
      <w:r w:rsidR="005B2E3F" w:rsidRPr="008579BC">
        <w:rPr>
          <w:rFonts w:ascii="Arial" w:hAnsi="Arial" w:cs="Arial"/>
          <w:kern w:val="24"/>
          <w:position w:val="10"/>
          <w:vertAlign w:val="superscript"/>
          <w:lang w:val="en-US"/>
        </w:rPr>
        <w:t>1</w:t>
      </w:r>
      <w:r w:rsidR="00891610" w:rsidRPr="008579BC">
        <w:rPr>
          <w:rFonts w:ascii="Arial" w:hAnsi="Arial" w:cs="Arial"/>
          <w:kern w:val="24"/>
          <w:lang w:val="en-US"/>
        </w:rPr>
        <w:t xml:space="preserve">, Lisa </w:t>
      </w:r>
      <w:proofErr w:type="spellStart"/>
      <w:r w:rsidR="00891610" w:rsidRPr="008579BC">
        <w:rPr>
          <w:rFonts w:ascii="Arial" w:hAnsi="Arial" w:cs="Arial"/>
          <w:kern w:val="24"/>
          <w:lang w:val="en-US"/>
        </w:rPr>
        <w:t>Melymuk</w:t>
      </w:r>
      <w:proofErr w:type="spellEnd"/>
      <w:r w:rsidR="00891610" w:rsidRPr="008579BC">
        <w:rPr>
          <w:rFonts w:ascii="Arial" w:hAnsi="Arial" w:cs="Arial"/>
          <w:kern w:val="24"/>
          <w:position w:val="10"/>
          <w:vertAlign w:val="superscript"/>
          <w:lang w:val="en-US"/>
        </w:rPr>
        <w:t>1</w:t>
      </w:r>
      <w:r w:rsidR="005B2E3F" w:rsidRPr="008579BC">
        <w:rPr>
          <w:rFonts w:ascii="Arial" w:hAnsi="Arial" w:cs="Arial"/>
          <w:kern w:val="24"/>
          <w:lang w:val="en-US"/>
        </w:rPr>
        <w:t xml:space="preserve">, </w:t>
      </w:r>
      <w:proofErr w:type="spellStart"/>
      <w:r w:rsidR="005B2E3F" w:rsidRPr="008579BC">
        <w:rPr>
          <w:rFonts w:ascii="Arial" w:hAnsi="Arial" w:cs="Arial"/>
          <w:kern w:val="24"/>
          <w:lang w:val="en-US"/>
        </w:rPr>
        <w:t>Jitka</w:t>
      </w:r>
      <w:proofErr w:type="spellEnd"/>
      <w:r w:rsidR="005B2E3F" w:rsidRPr="008579BC">
        <w:rPr>
          <w:rFonts w:ascii="Arial" w:hAnsi="Arial" w:cs="Arial"/>
          <w:kern w:val="24"/>
          <w:lang w:val="en-US"/>
        </w:rPr>
        <w:t xml:space="preserve"> </w:t>
      </w:r>
      <w:proofErr w:type="spellStart"/>
      <w:r w:rsidR="005B2E3F" w:rsidRPr="008579BC">
        <w:rPr>
          <w:rFonts w:ascii="Arial" w:hAnsi="Arial" w:cs="Arial"/>
          <w:kern w:val="24"/>
          <w:lang w:val="en-US"/>
        </w:rPr>
        <w:t>Bečanová</w:t>
      </w:r>
      <w:proofErr w:type="spellEnd"/>
      <w:r w:rsidR="005B2E3F" w:rsidRPr="008579BC">
        <w:rPr>
          <w:rFonts w:ascii="Arial" w:hAnsi="Arial" w:cs="Arial"/>
          <w:kern w:val="24"/>
          <w:position w:val="10"/>
          <w:vertAlign w:val="superscript"/>
          <w:lang w:val="en-US"/>
        </w:rPr>
        <w:t>1</w:t>
      </w:r>
      <w:r w:rsidR="005B2E3F" w:rsidRPr="008579BC">
        <w:rPr>
          <w:rFonts w:ascii="Arial" w:hAnsi="Arial" w:cs="Arial"/>
          <w:kern w:val="24"/>
          <w:lang w:val="en-US"/>
        </w:rPr>
        <w:t xml:space="preserve">, Kevin </w:t>
      </w:r>
      <w:proofErr w:type="spellStart"/>
      <w:r w:rsidR="005B2E3F" w:rsidRPr="008579BC">
        <w:rPr>
          <w:rFonts w:ascii="Arial" w:hAnsi="Arial" w:cs="Arial"/>
          <w:kern w:val="24"/>
          <w:lang w:val="en-US"/>
        </w:rPr>
        <w:t>Romanak</w:t>
      </w:r>
      <w:proofErr w:type="spellEnd"/>
      <w:r w:rsidR="005B2E3F" w:rsidRPr="008579BC">
        <w:rPr>
          <w:rFonts w:ascii="Arial" w:hAnsi="Arial" w:cs="Arial"/>
          <w:kern w:val="24"/>
          <w:position w:val="10"/>
          <w:vertAlign w:val="superscript"/>
          <w:lang w:val="en-US"/>
        </w:rPr>
        <w:t>2</w:t>
      </w:r>
      <w:r w:rsidR="005B2E3F" w:rsidRPr="008579BC">
        <w:rPr>
          <w:rFonts w:ascii="Arial" w:hAnsi="Arial" w:cs="Arial"/>
          <w:kern w:val="24"/>
          <w:lang w:val="en-US"/>
        </w:rPr>
        <w:t xml:space="preserve">, Roman </w:t>
      </w:r>
      <w:proofErr w:type="spellStart"/>
      <w:r w:rsidR="005B2E3F" w:rsidRPr="008579BC">
        <w:rPr>
          <w:rFonts w:ascii="Arial" w:hAnsi="Arial" w:cs="Arial"/>
          <w:kern w:val="24"/>
          <w:lang w:val="en-US"/>
        </w:rPr>
        <w:t>Prokeš</w:t>
      </w:r>
      <w:proofErr w:type="spellEnd"/>
      <w:r w:rsidR="005B2E3F" w:rsidRPr="008579BC">
        <w:rPr>
          <w:rFonts w:ascii="Arial" w:hAnsi="Arial" w:cs="Arial"/>
          <w:kern w:val="24"/>
          <w:position w:val="10"/>
          <w:vertAlign w:val="superscript"/>
          <w:lang w:val="en-US"/>
        </w:rPr>
        <w:t>1</w:t>
      </w:r>
      <w:r w:rsidR="005B2E3F" w:rsidRPr="008579BC">
        <w:rPr>
          <w:rFonts w:ascii="Arial" w:hAnsi="Arial" w:cs="Arial"/>
          <w:kern w:val="24"/>
          <w:lang w:val="en-US"/>
        </w:rPr>
        <w:t xml:space="preserve">, Joseph </w:t>
      </w:r>
      <w:proofErr w:type="spellStart"/>
      <w:r w:rsidR="005B2E3F" w:rsidRPr="008579BC">
        <w:rPr>
          <w:rFonts w:ascii="Arial" w:hAnsi="Arial" w:cs="Arial"/>
          <w:kern w:val="24"/>
          <w:lang w:val="en-US"/>
        </w:rPr>
        <w:t>Okeme</w:t>
      </w:r>
      <w:proofErr w:type="spellEnd"/>
      <w:r w:rsidR="005B2E3F" w:rsidRPr="008579BC">
        <w:rPr>
          <w:rFonts w:ascii="Arial" w:hAnsi="Arial" w:cs="Arial"/>
          <w:kern w:val="24"/>
          <w:position w:val="10"/>
          <w:vertAlign w:val="superscript"/>
          <w:lang w:val="en-US"/>
        </w:rPr>
        <w:t>3</w:t>
      </w:r>
      <w:r w:rsidR="005B2E3F" w:rsidRPr="008579BC">
        <w:rPr>
          <w:rFonts w:ascii="Arial" w:hAnsi="Arial" w:cs="Arial"/>
          <w:kern w:val="24"/>
          <w:lang w:val="en-US"/>
        </w:rPr>
        <w:t xml:space="preserve">, </w:t>
      </w:r>
      <w:proofErr w:type="spellStart"/>
      <w:r w:rsidR="005B2E3F" w:rsidRPr="008579BC">
        <w:rPr>
          <w:rFonts w:ascii="Arial" w:hAnsi="Arial" w:cs="Arial"/>
          <w:kern w:val="24"/>
          <w:lang w:val="en-US"/>
        </w:rPr>
        <w:t>Aman</w:t>
      </w:r>
      <w:proofErr w:type="spellEnd"/>
      <w:r w:rsidR="005B2E3F" w:rsidRPr="008579BC">
        <w:rPr>
          <w:rFonts w:ascii="Arial" w:hAnsi="Arial" w:cs="Arial"/>
          <w:kern w:val="24"/>
          <w:lang w:val="en-US"/>
        </w:rPr>
        <w:t xml:space="preserve"> Saini</w:t>
      </w:r>
      <w:r w:rsidR="005B2E3F" w:rsidRPr="008579BC">
        <w:rPr>
          <w:rFonts w:ascii="Arial" w:hAnsi="Arial" w:cs="Arial"/>
          <w:kern w:val="24"/>
          <w:position w:val="10"/>
          <w:vertAlign w:val="superscript"/>
          <w:lang w:val="en-US"/>
        </w:rPr>
        <w:t>3</w:t>
      </w:r>
      <w:r w:rsidR="005B2E3F" w:rsidRPr="008579BC">
        <w:rPr>
          <w:rFonts w:ascii="Arial" w:hAnsi="Arial" w:cs="Arial"/>
          <w:kern w:val="24"/>
          <w:lang w:val="en-US"/>
        </w:rPr>
        <w:t>, Miriam Diamond</w:t>
      </w:r>
      <w:r w:rsidR="005B2E3F" w:rsidRPr="008579BC">
        <w:rPr>
          <w:rFonts w:ascii="Arial" w:hAnsi="Arial" w:cs="Arial"/>
          <w:kern w:val="24"/>
          <w:position w:val="10"/>
          <w:vertAlign w:val="superscript"/>
          <w:lang w:val="en-US"/>
        </w:rPr>
        <w:t>3</w:t>
      </w:r>
      <w:r w:rsidR="005B2E3F" w:rsidRPr="008579BC">
        <w:rPr>
          <w:rFonts w:ascii="Arial" w:hAnsi="Arial" w:cs="Arial"/>
          <w:kern w:val="24"/>
          <w:lang w:val="en-US"/>
        </w:rPr>
        <w:t xml:space="preserve">, Jana </w:t>
      </w:r>
      <w:proofErr w:type="spellStart"/>
      <w:r w:rsidR="005B2E3F" w:rsidRPr="008579BC">
        <w:rPr>
          <w:rFonts w:ascii="Arial" w:hAnsi="Arial" w:cs="Arial"/>
          <w:kern w:val="24"/>
          <w:lang w:val="en-US"/>
        </w:rPr>
        <w:t>Klánová</w:t>
      </w:r>
      <w:proofErr w:type="spellEnd"/>
      <w:r w:rsidR="005B2E3F" w:rsidRPr="008579BC">
        <w:rPr>
          <w:rFonts w:ascii="Arial" w:hAnsi="Arial" w:cs="Arial"/>
          <w:kern w:val="24"/>
          <w:position w:val="10"/>
          <w:vertAlign w:val="superscript"/>
          <w:lang w:val="en-US"/>
        </w:rPr>
        <w:t>1</w:t>
      </w:r>
    </w:p>
    <w:p w:rsidR="00593E04" w:rsidRPr="008579BC" w:rsidRDefault="005B2E3F" w:rsidP="00F76DB0">
      <w:pPr>
        <w:pBdr>
          <w:bottom w:val="single" w:sz="4" w:space="6" w:color="auto"/>
        </w:pBdr>
        <w:spacing w:line="240" w:lineRule="auto"/>
        <w:jc w:val="center"/>
        <w:rPr>
          <w:rFonts w:ascii="Arial" w:hAnsi="Arial" w:cs="Arial"/>
          <w:iCs/>
          <w:kern w:val="24"/>
          <w:sz w:val="18"/>
          <w:szCs w:val="18"/>
          <w:lang w:val="en-US"/>
        </w:rPr>
      </w:pPr>
      <w:r w:rsidRPr="008579BC">
        <w:rPr>
          <w:rFonts w:ascii="Arial" w:hAnsi="Arial" w:cs="Arial"/>
          <w:iCs/>
          <w:kern w:val="24"/>
          <w:position w:val="7"/>
          <w:sz w:val="18"/>
          <w:szCs w:val="18"/>
          <w:vertAlign w:val="superscript"/>
          <w:lang w:val="en-US"/>
        </w:rPr>
        <w:t>1</w:t>
      </w:r>
      <w:r w:rsidR="00C15BFA" w:rsidRPr="008579BC">
        <w:rPr>
          <w:rFonts w:ascii="Arial" w:hAnsi="Arial" w:cs="Arial"/>
          <w:iCs/>
          <w:kern w:val="24"/>
          <w:sz w:val="18"/>
          <w:szCs w:val="18"/>
          <w:lang w:val="en-US"/>
        </w:rPr>
        <w:t>Research Centre for Toxic Compounds in the Environment (RECETOX)</w:t>
      </w:r>
      <w:r w:rsidRPr="008579BC">
        <w:rPr>
          <w:rFonts w:ascii="Arial" w:hAnsi="Arial" w:cs="Arial"/>
          <w:iCs/>
          <w:kern w:val="24"/>
          <w:sz w:val="18"/>
          <w:szCs w:val="18"/>
          <w:lang w:val="en-US"/>
        </w:rPr>
        <w:t xml:space="preserve">, Masaryk University, </w:t>
      </w:r>
      <w:r w:rsidR="001F3DF8" w:rsidRPr="008579BC">
        <w:rPr>
          <w:rFonts w:ascii="Arial" w:hAnsi="Arial" w:cs="Arial"/>
          <w:iCs/>
          <w:kern w:val="24"/>
          <w:sz w:val="18"/>
          <w:szCs w:val="18"/>
          <w:lang w:val="en-US"/>
        </w:rPr>
        <w:br/>
      </w:r>
      <w:proofErr w:type="spellStart"/>
      <w:r w:rsidRPr="008579BC">
        <w:rPr>
          <w:rFonts w:ascii="Arial" w:hAnsi="Arial" w:cs="Arial"/>
          <w:iCs/>
          <w:kern w:val="24"/>
          <w:sz w:val="18"/>
          <w:szCs w:val="18"/>
          <w:lang w:val="en-US"/>
        </w:rPr>
        <w:t>Kamenice</w:t>
      </w:r>
      <w:proofErr w:type="spellEnd"/>
      <w:r w:rsidRPr="008579BC">
        <w:rPr>
          <w:rFonts w:ascii="Arial" w:hAnsi="Arial" w:cs="Arial"/>
          <w:iCs/>
          <w:kern w:val="24"/>
          <w:sz w:val="18"/>
          <w:szCs w:val="18"/>
          <w:lang w:val="en-US"/>
        </w:rPr>
        <w:t xml:space="preserve"> 753/5, </w:t>
      </w:r>
      <w:r w:rsidR="00D5117F" w:rsidRPr="008579BC">
        <w:rPr>
          <w:rFonts w:ascii="Arial" w:hAnsi="Arial" w:cs="Arial"/>
          <w:iCs/>
          <w:kern w:val="24"/>
          <w:sz w:val="18"/>
          <w:szCs w:val="18"/>
          <w:lang w:val="en-US"/>
        </w:rPr>
        <w:t>pavilion</w:t>
      </w:r>
      <w:r w:rsidR="00C15BFA" w:rsidRPr="008579BC">
        <w:rPr>
          <w:rFonts w:ascii="Arial" w:hAnsi="Arial" w:cs="Arial"/>
          <w:iCs/>
          <w:kern w:val="24"/>
          <w:sz w:val="18"/>
          <w:szCs w:val="18"/>
          <w:lang w:val="en-US"/>
        </w:rPr>
        <w:t xml:space="preserve"> A29, </w:t>
      </w:r>
      <w:r w:rsidRPr="008579BC">
        <w:rPr>
          <w:rFonts w:ascii="Arial" w:hAnsi="Arial" w:cs="Arial"/>
          <w:iCs/>
          <w:kern w:val="24"/>
          <w:sz w:val="18"/>
          <w:szCs w:val="18"/>
          <w:lang w:val="en-US"/>
        </w:rPr>
        <w:t xml:space="preserve">625 00 Brno, Czech Republic </w:t>
      </w:r>
      <w:r w:rsidR="00C15BFA" w:rsidRPr="008579BC">
        <w:rPr>
          <w:rFonts w:ascii="Arial" w:hAnsi="Arial" w:cs="Arial"/>
          <w:iCs/>
          <w:kern w:val="24"/>
          <w:sz w:val="18"/>
          <w:szCs w:val="18"/>
          <w:lang w:val="en-US"/>
        </w:rPr>
        <w:br/>
      </w:r>
      <w:r w:rsidRPr="008579BC">
        <w:rPr>
          <w:rFonts w:ascii="Arial" w:hAnsi="Arial" w:cs="Arial"/>
          <w:iCs/>
          <w:kern w:val="24"/>
          <w:position w:val="7"/>
          <w:sz w:val="18"/>
          <w:szCs w:val="18"/>
          <w:vertAlign w:val="superscript"/>
          <w:lang w:val="en-US"/>
        </w:rPr>
        <w:t>2</w:t>
      </w:r>
      <w:r w:rsidRPr="008579BC">
        <w:rPr>
          <w:rFonts w:ascii="Arial" w:hAnsi="Arial" w:cs="Arial"/>
          <w:iCs/>
          <w:kern w:val="24"/>
          <w:sz w:val="18"/>
          <w:szCs w:val="18"/>
          <w:lang w:val="en-US"/>
        </w:rPr>
        <w:t xml:space="preserve">School of Public and Environmental Affairs, Indiana University, 702 N. Walnut Grove Ave., </w:t>
      </w:r>
      <w:r w:rsidR="001F3DF8" w:rsidRPr="008579BC">
        <w:rPr>
          <w:rFonts w:ascii="Arial" w:hAnsi="Arial" w:cs="Arial"/>
          <w:iCs/>
          <w:kern w:val="24"/>
          <w:sz w:val="18"/>
          <w:szCs w:val="18"/>
          <w:lang w:val="en-US"/>
        </w:rPr>
        <w:br/>
      </w:r>
      <w:r w:rsidRPr="008579BC">
        <w:rPr>
          <w:rFonts w:ascii="Arial" w:hAnsi="Arial" w:cs="Arial"/>
          <w:iCs/>
          <w:kern w:val="24"/>
          <w:sz w:val="18"/>
          <w:szCs w:val="18"/>
          <w:lang w:val="en-US"/>
        </w:rPr>
        <w:t>Bloomington, Indiana 47405, US</w:t>
      </w:r>
      <w:r w:rsidR="00C15BFA" w:rsidRPr="008579BC">
        <w:rPr>
          <w:rFonts w:ascii="Arial" w:hAnsi="Arial" w:cs="Arial"/>
          <w:iCs/>
          <w:kern w:val="24"/>
          <w:sz w:val="18"/>
          <w:szCs w:val="18"/>
          <w:lang w:val="en-US"/>
        </w:rPr>
        <w:br/>
      </w:r>
      <w:r w:rsidRPr="008579BC">
        <w:rPr>
          <w:rFonts w:ascii="Arial" w:hAnsi="Arial" w:cs="Arial"/>
          <w:iCs/>
          <w:kern w:val="24"/>
          <w:position w:val="7"/>
          <w:sz w:val="18"/>
          <w:szCs w:val="18"/>
          <w:vertAlign w:val="superscript"/>
          <w:lang w:val="en-US"/>
        </w:rPr>
        <w:t>3</w:t>
      </w:r>
      <w:r w:rsidRPr="008579BC">
        <w:rPr>
          <w:rFonts w:ascii="Arial" w:hAnsi="Arial" w:cs="Arial"/>
          <w:iCs/>
          <w:kern w:val="24"/>
          <w:sz w:val="18"/>
          <w:szCs w:val="18"/>
          <w:lang w:val="en-US"/>
        </w:rPr>
        <w:t>Department of Earth Sciences, University of Toronto, 22 Russell Street, Toronto, Ontario, Canada M5S 3B1</w:t>
      </w:r>
    </w:p>
    <w:p w:rsidR="005B2E3F" w:rsidRPr="008579BC" w:rsidRDefault="00593E04" w:rsidP="00F76DB0">
      <w:pPr>
        <w:pBdr>
          <w:bottom w:val="single" w:sz="4" w:space="6" w:color="auto"/>
        </w:pBdr>
        <w:spacing w:line="240" w:lineRule="auto"/>
        <w:jc w:val="center"/>
        <w:rPr>
          <w:rStyle w:val="Nzevknihy"/>
          <w:rFonts w:ascii="Arial" w:hAnsi="Arial" w:cs="Arial"/>
          <w:b w:val="0"/>
          <w:bCs w:val="0"/>
          <w:iCs/>
          <w:smallCaps w:val="0"/>
          <w:spacing w:val="0"/>
          <w:kern w:val="24"/>
          <w:sz w:val="18"/>
          <w:szCs w:val="18"/>
          <w:lang w:val="en-US"/>
        </w:rPr>
      </w:pPr>
      <w:r w:rsidRPr="008579BC">
        <w:rPr>
          <w:rFonts w:ascii="Arial" w:hAnsi="Arial" w:cs="Arial"/>
          <w:sz w:val="18"/>
          <w:szCs w:val="18"/>
          <w:lang w:val="en-US"/>
        </w:rPr>
        <w:t>e</w:t>
      </w:r>
      <w:r w:rsidR="001F3DF8" w:rsidRPr="008579BC">
        <w:rPr>
          <w:rFonts w:ascii="Arial" w:hAnsi="Arial" w:cs="Arial"/>
          <w:sz w:val="18"/>
          <w:szCs w:val="18"/>
          <w:lang w:val="en-US"/>
        </w:rPr>
        <w:t xml:space="preserve">-mail contact: </w:t>
      </w:r>
      <w:hyperlink r:id="rId6" w:history="1">
        <w:r w:rsidR="001F3DF8" w:rsidRPr="008579BC">
          <w:rPr>
            <w:rStyle w:val="Hypertextovodkaz"/>
            <w:rFonts w:ascii="Arial" w:hAnsi="Arial" w:cs="Arial"/>
            <w:sz w:val="18"/>
            <w:szCs w:val="18"/>
            <w:lang w:val="en-US"/>
          </w:rPr>
          <w:t>kratka@recetox.muni.cz</w:t>
        </w:r>
      </w:hyperlink>
    </w:p>
    <w:p w:rsidR="00A76416" w:rsidRPr="008579BC" w:rsidRDefault="004B72FB" w:rsidP="00A76416">
      <w:pPr>
        <w:pStyle w:val="Bezmezer"/>
        <w:rPr>
          <w:rFonts w:ascii="Arial" w:eastAsia="Times New Roman" w:hAnsi="Arial" w:cs="Arial"/>
        </w:rPr>
      </w:pPr>
      <w:r w:rsidRPr="008579BC">
        <w:rPr>
          <w:rFonts w:ascii="Arial" w:eastAsia="Times New Roman" w:hAnsi="Arial" w:cs="Arial"/>
          <w:b/>
          <w:sz w:val="24"/>
          <w:szCs w:val="24"/>
        </w:rPr>
        <w:t>Short abstra</w:t>
      </w:r>
      <w:r w:rsidR="00D5117F" w:rsidRPr="008579BC">
        <w:rPr>
          <w:rFonts w:ascii="Arial" w:eastAsia="Times New Roman" w:hAnsi="Arial" w:cs="Arial"/>
          <w:b/>
          <w:sz w:val="24"/>
          <w:szCs w:val="24"/>
        </w:rPr>
        <w:t>c</w:t>
      </w:r>
      <w:r w:rsidRPr="008579BC">
        <w:rPr>
          <w:rFonts w:ascii="Arial" w:eastAsia="Times New Roman" w:hAnsi="Arial" w:cs="Arial"/>
          <w:b/>
          <w:sz w:val="24"/>
          <w:szCs w:val="24"/>
        </w:rPr>
        <w:t>t</w:t>
      </w:r>
      <w:r w:rsidRPr="008579BC">
        <w:rPr>
          <w:rFonts w:ascii="Arial" w:eastAsia="Times New Roman" w:hAnsi="Arial" w:cs="Arial"/>
          <w:b/>
          <w:sz w:val="24"/>
          <w:szCs w:val="24"/>
        </w:rPr>
        <w:tab/>
      </w:r>
      <w:r w:rsidRPr="008579BC">
        <w:rPr>
          <w:rFonts w:ascii="Arial" w:eastAsia="Times New Roman" w:hAnsi="Arial" w:cs="Arial"/>
        </w:rPr>
        <w:tab/>
      </w:r>
      <w:r w:rsidRPr="008579BC">
        <w:rPr>
          <w:rFonts w:ascii="Arial" w:eastAsia="Times New Roman" w:hAnsi="Arial" w:cs="Arial"/>
        </w:rPr>
        <w:tab/>
      </w:r>
      <w:r w:rsidRPr="008579BC">
        <w:rPr>
          <w:rFonts w:ascii="Arial" w:eastAsia="Times New Roman" w:hAnsi="Arial" w:cs="Arial"/>
        </w:rPr>
        <w:tab/>
      </w:r>
      <w:r w:rsidRPr="008579BC">
        <w:rPr>
          <w:rFonts w:ascii="Arial" w:eastAsia="Times New Roman" w:hAnsi="Arial" w:cs="Arial"/>
        </w:rPr>
        <w:tab/>
      </w:r>
    </w:p>
    <w:p w:rsidR="00A76416" w:rsidRPr="008579BC" w:rsidRDefault="00A76416" w:rsidP="00A76416">
      <w:pPr>
        <w:pStyle w:val="Bezmezer"/>
        <w:rPr>
          <w:rFonts w:ascii="Arial" w:eastAsia="Times New Roman" w:hAnsi="Arial" w:cs="Arial"/>
        </w:rPr>
      </w:pPr>
    </w:p>
    <w:p w:rsidR="001F730C" w:rsidRPr="008579BC" w:rsidRDefault="001F730C" w:rsidP="001F730C">
      <w:pPr>
        <w:pStyle w:val="Bezmezer"/>
        <w:rPr>
          <w:rFonts w:ascii="Arial" w:eastAsia="Times New Roman" w:hAnsi="Arial" w:cs="Arial"/>
          <w:bCs/>
        </w:rPr>
      </w:pPr>
    </w:p>
    <w:p w:rsidR="001F730C" w:rsidRPr="008579BC" w:rsidRDefault="00136AF1" w:rsidP="001F730C">
      <w:pPr>
        <w:pStyle w:val="Bezmezer"/>
        <w:spacing w:line="360" w:lineRule="auto"/>
        <w:ind w:firstLine="708"/>
        <w:jc w:val="both"/>
        <w:rPr>
          <w:rFonts w:ascii="Arial" w:eastAsia="Times New Roman" w:hAnsi="Arial" w:cs="Arial"/>
          <w:bCs/>
        </w:rPr>
      </w:pPr>
      <w:r w:rsidRPr="008579BC">
        <w:rPr>
          <w:rFonts w:ascii="Arial" w:eastAsia="Times New Roman" w:hAnsi="Arial" w:cs="Arial"/>
          <w:bCs/>
        </w:rPr>
        <w:t xml:space="preserve">Flame retardants (FRs) have been used for several decades to prevent fire and reduce the flammability of a wide range of materials. These properties are offset by their environmental persistency, toxicity and </w:t>
      </w:r>
      <w:proofErr w:type="spellStart"/>
      <w:r w:rsidRPr="008579BC">
        <w:rPr>
          <w:rFonts w:ascii="Arial" w:eastAsia="Times New Roman" w:hAnsi="Arial" w:cs="Arial"/>
          <w:bCs/>
        </w:rPr>
        <w:t>bioaccumulative</w:t>
      </w:r>
      <w:proofErr w:type="spellEnd"/>
      <w:r w:rsidRPr="008579BC">
        <w:rPr>
          <w:rFonts w:ascii="Arial" w:eastAsia="Times New Roman" w:hAnsi="Arial" w:cs="Arial"/>
          <w:bCs/>
        </w:rPr>
        <w:t xml:space="preserve"> potential. Worldwide restrictions on the use of </w:t>
      </w:r>
      <w:r w:rsidR="00BC034C" w:rsidRPr="008579BC">
        <w:rPr>
          <w:rFonts w:ascii="Arial" w:eastAsia="Times New Roman" w:hAnsi="Arial" w:cs="Arial"/>
          <w:bCs/>
        </w:rPr>
        <w:t xml:space="preserve">old types </w:t>
      </w:r>
      <w:r w:rsidR="00BC57D8" w:rsidRPr="008579BC">
        <w:rPr>
          <w:rFonts w:ascii="Arial" w:eastAsia="Times New Roman" w:hAnsi="Arial" w:cs="Arial"/>
          <w:bCs/>
        </w:rPr>
        <w:t xml:space="preserve">of </w:t>
      </w:r>
      <w:r w:rsidRPr="008579BC">
        <w:rPr>
          <w:rFonts w:ascii="Arial" w:eastAsia="Times New Roman" w:hAnsi="Arial" w:cs="Arial"/>
          <w:bCs/>
        </w:rPr>
        <w:t xml:space="preserve">brominated FRs have therefore resulted in </w:t>
      </w:r>
      <w:r w:rsidR="00BC57D8" w:rsidRPr="008579BC">
        <w:rPr>
          <w:rFonts w:ascii="Arial" w:eastAsia="Times New Roman" w:hAnsi="Arial" w:cs="Arial"/>
          <w:bCs/>
        </w:rPr>
        <w:t>extended</w:t>
      </w:r>
      <w:r w:rsidRPr="008579BC">
        <w:rPr>
          <w:rFonts w:ascii="Arial" w:eastAsia="Times New Roman" w:hAnsi="Arial" w:cs="Arial"/>
          <w:bCs/>
        </w:rPr>
        <w:t xml:space="preserve"> use of alternate compounds, such as organophosphate flame retardants (OPFRs), produced in increasing volumes in recent years. Since in most applications OPFRs are used as additive chemicals and therefore are not covalently bound to the polymeric materials, they can be released </w:t>
      </w:r>
      <w:r w:rsidR="0020348E" w:rsidRPr="008579BC">
        <w:rPr>
          <w:rFonts w:ascii="Arial" w:eastAsia="Times New Roman" w:hAnsi="Arial" w:cs="Arial"/>
          <w:bCs/>
        </w:rPr>
        <w:t xml:space="preserve">to the environment </w:t>
      </w:r>
      <w:r w:rsidRPr="008579BC">
        <w:rPr>
          <w:rFonts w:ascii="Arial" w:eastAsia="Times New Roman" w:hAnsi="Arial" w:cs="Arial"/>
          <w:bCs/>
        </w:rPr>
        <w:t xml:space="preserve">easily. Due to their presence in common household products, humans are exposed to the released OPFRs in the indoor environment, especially as </w:t>
      </w:r>
      <w:r w:rsidR="00D5117F" w:rsidRPr="008579BC">
        <w:rPr>
          <w:rFonts w:ascii="Arial" w:eastAsia="Times New Roman" w:hAnsi="Arial" w:cs="Arial"/>
          <w:bCs/>
        </w:rPr>
        <w:t>people</w:t>
      </w:r>
      <w:r w:rsidRPr="008579BC">
        <w:rPr>
          <w:rFonts w:ascii="Arial" w:eastAsia="Times New Roman" w:hAnsi="Arial" w:cs="Arial"/>
          <w:bCs/>
        </w:rPr>
        <w:t xml:space="preserve"> spend </w:t>
      </w:r>
      <w:r w:rsidR="006975F3" w:rsidRPr="008579BC">
        <w:rPr>
          <w:rFonts w:ascii="Arial" w:eastAsia="Times New Roman" w:hAnsi="Arial" w:cs="Arial"/>
          <w:bCs/>
        </w:rPr>
        <w:t>most</w:t>
      </w:r>
      <w:r w:rsidRPr="008579BC">
        <w:rPr>
          <w:rFonts w:ascii="Arial" w:eastAsia="Times New Roman" w:hAnsi="Arial" w:cs="Arial"/>
          <w:bCs/>
        </w:rPr>
        <w:t xml:space="preserve"> of their time indoors.</w:t>
      </w:r>
    </w:p>
    <w:p w:rsidR="001F730C" w:rsidRPr="008579BC" w:rsidRDefault="001F730C" w:rsidP="001F730C">
      <w:pPr>
        <w:pStyle w:val="Bezmezer"/>
        <w:spacing w:line="360" w:lineRule="auto"/>
        <w:ind w:firstLine="708"/>
        <w:jc w:val="both"/>
        <w:rPr>
          <w:rFonts w:ascii="Arial" w:eastAsia="Times New Roman" w:hAnsi="Arial" w:cs="Arial"/>
          <w:bCs/>
        </w:rPr>
      </w:pPr>
      <w:r w:rsidRPr="008579BC">
        <w:rPr>
          <w:rFonts w:ascii="Arial" w:eastAsia="Times New Roman" w:hAnsi="Arial" w:cs="Arial"/>
          <w:bCs/>
        </w:rPr>
        <w:t>Air, dust and window film samples were collected from a total of 63 houses and apartments in the Czech Republic, Canada and USA durin</w:t>
      </w:r>
      <w:r w:rsidR="00644A1D" w:rsidRPr="008579BC">
        <w:rPr>
          <w:rFonts w:ascii="Arial" w:eastAsia="Times New Roman" w:hAnsi="Arial" w:cs="Arial"/>
          <w:bCs/>
        </w:rPr>
        <w:t>g a sampl</w:t>
      </w:r>
      <w:r w:rsidR="00D5117F" w:rsidRPr="008579BC">
        <w:rPr>
          <w:rFonts w:ascii="Arial" w:eastAsia="Times New Roman" w:hAnsi="Arial" w:cs="Arial"/>
          <w:bCs/>
        </w:rPr>
        <w:t>ing</w:t>
      </w:r>
      <w:r w:rsidR="00644A1D" w:rsidRPr="008579BC">
        <w:rPr>
          <w:rFonts w:ascii="Arial" w:eastAsia="Times New Roman" w:hAnsi="Arial" w:cs="Arial"/>
          <w:bCs/>
        </w:rPr>
        <w:t xml:space="preserve"> period of 28 days in </w:t>
      </w:r>
      <w:r w:rsidRPr="008579BC">
        <w:rPr>
          <w:rFonts w:ascii="Arial" w:eastAsia="Times New Roman" w:hAnsi="Arial" w:cs="Arial"/>
          <w:bCs/>
        </w:rPr>
        <w:t>May-</w:t>
      </w:r>
      <w:r w:rsidR="00644A1D" w:rsidRPr="008579BC">
        <w:rPr>
          <w:rFonts w:ascii="Arial" w:eastAsia="Times New Roman" w:hAnsi="Arial" w:cs="Arial"/>
          <w:bCs/>
        </w:rPr>
        <w:t xml:space="preserve">August </w:t>
      </w:r>
      <w:r w:rsidRPr="008579BC">
        <w:rPr>
          <w:rFonts w:ascii="Arial" w:eastAsia="Times New Roman" w:hAnsi="Arial" w:cs="Arial"/>
          <w:bCs/>
        </w:rPr>
        <w:t xml:space="preserve">2013. Samples from one room, usually the bedroom, were collected in each home while a second room, usually the living room, was sampled in 10 randomly chosen homes in each country. In addition to the sampling, data about the </w:t>
      </w:r>
      <w:r w:rsidR="00D5117F" w:rsidRPr="008579BC">
        <w:rPr>
          <w:rFonts w:ascii="Arial" w:eastAsia="Times New Roman" w:hAnsi="Arial" w:cs="Arial"/>
          <w:bCs/>
        </w:rPr>
        <w:t>building</w:t>
      </w:r>
      <w:r w:rsidR="00E929BF" w:rsidRPr="008579BC">
        <w:rPr>
          <w:rFonts w:ascii="Arial" w:eastAsia="Times New Roman" w:hAnsi="Arial" w:cs="Arial"/>
          <w:bCs/>
        </w:rPr>
        <w:t xml:space="preserve"> </w:t>
      </w:r>
      <w:r w:rsidRPr="008579BC">
        <w:rPr>
          <w:rFonts w:ascii="Arial" w:eastAsia="Times New Roman" w:hAnsi="Arial" w:cs="Arial"/>
          <w:bCs/>
        </w:rPr>
        <w:t>and the household were also collected, i.e. information on electronic equipment and furniture in the sampled rooms, occupants, cleaning, ventilation habits, etc.</w:t>
      </w:r>
    </w:p>
    <w:p w:rsidR="00157D11" w:rsidRPr="008579BC" w:rsidRDefault="00136AF1" w:rsidP="00607701">
      <w:pPr>
        <w:pStyle w:val="Bezmezer"/>
        <w:spacing w:line="360" w:lineRule="auto"/>
        <w:ind w:firstLine="708"/>
        <w:jc w:val="both"/>
        <w:rPr>
          <w:rFonts w:ascii="Arial" w:eastAsia="Times New Roman" w:hAnsi="Arial" w:cs="Arial"/>
          <w:bCs/>
        </w:rPr>
      </w:pPr>
      <w:r w:rsidRPr="008579BC">
        <w:rPr>
          <w:rFonts w:ascii="Arial" w:eastAsia="Times New Roman" w:hAnsi="Arial" w:cs="Arial"/>
          <w:bCs/>
        </w:rPr>
        <w:t xml:space="preserve">The objectives of the present study were to </w:t>
      </w:r>
      <w:r w:rsidR="008579BC" w:rsidRPr="008579BC">
        <w:rPr>
          <w:rFonts w:ascii="Arial" w:eastAsia="Times New Roman" w:hAnsi="Arial" w:cs="Arial"/>
          <w:bCs/>
        </w:rPr>
        <w:t>examine the concentration of 14</w:t>
      </w:r>
      <w:r w:rsidR="00644A1D" w:rsidRPr="008579BC">
        <w:rPr>
          <w:rFonts w:ascii="Arial" w:eastAsia="Times New Roman" w:hAnsi="Arial" w:cs="Arial"/>
          <w:bCs/>
        </w:rPr>
        <w:t xml:space="preserve"> </w:t>
      </w:r>
      <w:r w:rsidRPr="008579BC">
        <w:rPr>
          <w:rFonts w:ascii="Arial" w:eastAsia="Times New Roman" w:hAnsi="Arial" w:cs="Arial"/>
          <w:bCs/>
        </w:rPr>
        <w:t>OPFRs found in different matrices in the same room and compare individual rooms in the same home, identify possible sources of these compounds in indoor environments and study regional differences in Central Europe and North America.</w:t>
      </w:r>
      <w:r w:rsidR="008579BC" w:rsidRPr="008579BC">
        <w:rPr>
          <w:rFonts w:ascii="Arial" w:eastAsia="Times New Roman" w:hAnsi="Arial" w:cs="Arial"/>
          <w:bCs/>
        </w:rPr>
        <w:t xml:space="preserve"> Overall OPFRs concentrations follow the geographic trend USA &gt; Canada &gt; Czech Republic in the case of dust and air samples. Significantly lower concentrations were found in air samples from the Czech Republic in comparison with North America.</w:t>
      </w:r>
      <w:r w:rsidR="008579BC">
        <w:rPr>
          <w:rFonts w:ascii="Arial" w:eastAsia="Times New Roman" w:hAnsi="Arial" w:cs="Arial"/>
          <w:bCs/>
        </w:rPr>
        <w:t xml:space="preserve"> </w:t>
      </w:r>
      <w:r w:rsidR="008579BC" w:rsidRPr="008579BC">
        <w:rPr>
          <w:rFonts w:ascii="Arial" w:eastAsia="Times New Roman" w:hAnsi="Arial" w:cs="Arial"/>
          <w:bCs/>
        </w:rPr>
        <w:t xml:space="preserve">The highest concentration in particular matrices </w:t>
      </w:r>
      <w:r w:rsidR="008579BC" w:rsidRPr="008579BC">
        <w:rPr>
          <w:rFonts w:ascii="Arial" w:eastAsia="Times New Roman" w:hAnsi="Arial" w:cs="Arial"/>
          <w:bCs/>
        </w:rPr>
        <w:lastRenderedPageBreak/>
        <w:t xml:space="preserve">were observed for </w:t>
      </w:r>
      <w:proofErr w:type="spellStart"/>
      <w:r w:rsidR="000859D5">
        <w:rPr>
          <w:rFonts w:ascii="Arial" w:eastAsia="Times New Roman" w:hAnsi="Arial" w:cs="Arial"/>
          <w:bCs/>
          <w:lang w:val="cs-CZ"/>
        </w:rPr>
        <w:t>t</w:t>
      </w:r>
      <w:r w:rsidR="008579BC" w:rsidRPr="008579BC">
        <w:rPr>
          <w:rFonts w:ascii="Arial" w:eastAsia="Times New Roman" w:hAnsi="Arial" w:cs="Arial"/>
          <w:bCs/>
          <w:lang w:val="cs-CZ"/>
        </w:rPr>
        <w:t>ris</w:t>
      </w:r>
      <w:proofErr w:type="spellEnd"/>
      <w:r w:rsidR="008579BC" w:rsidRPr="008579BC">
        <w:rPr>
          <w:rFonts w:ascii="Arial" w:eastAsia="Times New Roman" w:hAnsi="Arial" w:cs="Arial"/>
          <w:bCs/>
          <w:lang w:val="cs-CZ"/>
        </w:rPr>
        <w:t>(2-butoxyethyl)</w:t>
      </w:r>
      <w:proofErr w:type="spellStart"/>
      <w:r w:rsidR="008579BC" w:rsidRPr="008579BC">
        <w:rPr>
          <w:rFonts w:ascii="Arial" w:eastAsia="Times New Roman" w:hAnsi="Arial" w:cs="Arial"/>
          <w:bCs/>
          <w:lang w:val="cs-CZ"/>
        </w:rPr>
        <w:t>phosphate</w:t>
      </w:r>
      <w:proofErr w:type="spellEnd"/>
      <w:r w:rsidR="000859D5">
        <w:rPr>
          <w:rFonts w:ascii="Arial" w:eastAsia="Times New Roman" w:hAnsi="Arial" w:cs="Arial"/>
          <w:bCs/>
          <w:lang w:val="cs-CZ"/>
        </w:rPr>
        <w:t xml:space="preserve"> (</w:t>
      </w:r>
      <w:r w:rsidR="000859D5" w:rsidRPr="008579BC">
        <w:rPr>
          <w:rFonts w:ascii="Arial" w:eastAsia="Times New Roman" w:hAnsi="Arial" w:cs="Arial"/>
          <w:bCs/>
        </w:rPr>
        <w:t>TBOEP</w:t>
      </w:r>
      <w:r w:rsidR="008579BC">
        <w:rPr>
          <w:rFonts w:ascii="Arial" w:hAnsi="Arial" w:cs="Arial"/>
          <w:bCs/>
          <w:lang w:val="cs-CZ"/>
        </w:rPr>
        <w:t>)</w:t>
      </w:r>
      <w:r w:rsidR="008579BC" w:rsidRPr="008579BC">
        <w:rPr>
          <w:rFonts w:ascii="Arial" w:eastAsia="Times New Roman" w:hAnsi="Arial" w:cs="Arial"/>
          <w:bCs/>
        </w:rPr>
        <w:t xml:space="preserve">, </w:t>
      </w:r>
      <w:proofErr w:type="spellStart"/>
      <w:r w:rsidR="008579BC">
        <w:rPr>
          <w:rFonts w:ascii="Arial" w:eastAsia="Times New Roman" w:hAnsi="Arial" w:cs="Arial"/>
          <w:bCs/>
          <w:lang w:val="cs-CZ"/>
        </w:rPr>
        <w:t>t</w:t>
      </w:r>
      <w:r w:rsidR="008579BC" w:rsidRPr="008579BC">
        <w:rPr>
          <w:rFonts w:ascii="Arial" w:eastAsia="Times New Roman" w:hAnsi="Arial" w:cs="Arial"/>
          <w:bCs/>
          <w:lang w:val="cs-CZ"/>
        </w:rPr>
        <w:t>ris</w:t>
      </w:r>
      <w:proofErr w:type="spellEnd"/>
      <w:r w:rsidR="008579BC" w:rsidRPr="008579BC">
        <w:rPr>
          <w:rFonts w:ascii="Arial" w:eastAsia="Times New Roman" w:hAnsi="Arial" w:cs="Arial"/>
          <w:bCs/>
          <w:lang w:val="cs-CZ"/>
        </w:rPr>
        <w:t xml:space="preserve">(1-chloro-2-propyl) </w:t>
      </w:r>
      <w:proofErr w:type="spellStart"/>
      <w:r w:rsidR="008579BC" w:rsidRPr="008579BC">
        <w:rPr>
          <w:rFonts w:ascii="Arial" w:eastAsia="Times New Roman" w:hAnsi="Arial" w:cs="Arial"/>
          <w:bCs/>
          <w:lang w:val="cs-CZ"/>
        </w:rPr>
        <w:t>phosphate</w:t>
      </w:r>
      <w:proofErr w:type="spellEnd"/>
      <w:r w:rsidR="000859D5">
        <w:rPr>
          <w:rFonts w:ascii="Arial" w:eastAsia="Times New Roman" w:hAnsi="Arial" w:cs="Arial"/>
          <w:bCs/>
          <w:lang w:val="cs-CZ"/>
        </w:rPr>
        <w:t xml:space="preserve"> (</w:t>
      </w:r>
      <w:r w:rsidR="000859D5" w:rsidRPr="008579BC">
        <w:rPr>
          <w:rFonts w:ascii="Arial" w:eastAsia="Times New Roman" w:hAnsi="Arial" w:cs="Arial"/>
          <w:bCs/>
        </w:rPr>
        <w:t>TCIPP</w:t>
      </w:r>
      <w:r w:rsidR="008579BC">
        <w:rPr>
          <w:rFonts w:ascii="Arial" w:hAnsi="Arial" w:cs="Arial"/>
          <w:bCs/>
          <w:lang w:val="cs-CZ"/>
        </w:rPr>
        <w:t>)</w:t>
      </w:r>
      <w:r w:rsidR="008579BC" w:rsidRPr="008579BC">
        <w:rPr>
          <w:rFonts w:ascii="Arial" w:eastAsia="Times New Roman" w:hAnsi="Arial" w:cs="Arial"/>
          <w:bCs/>
        </w:rPr>
        <w:t xml:space="preserve"> and </w:t>
      </w:r>
      <w:proofErr w:type="spellStart"/>
      <w:r w:rsidR="008579BC">
        <w:rPr>
          <w:rFonts w:ascii="Arial" w:eastAsia="Times New Roman" w:hAnsi="Arial" w:cs="Arial"/>
          <w:bCs/>
          <w:lang w:val="cs-CZ"/>
        </w:rPr>
        <w:t>t</w:t>
      </w:r>
      <w:r w:rsidR="008579BC" w:rsidRPr="008579BC">
        <w:rPr>
          <w:rFonts w:ascii="Arial" w:eastAsia="Times New Roman" w:hAnsi="Arial" w:cs="Arial"/>
          <w:bCs/>
          <w:lang w:val="cs-CZ"/>
        </w:rPr>
        <w:t>ris</w:t>
      </w:r>
      <w:proofErr w:type="spellEnd"/>
      <w:r w:rsidR="008579BC" w:rsidRPr="008579BC">
        <w:rPr>
          <w:rFonts w:ascii="Arial" w:eastAsia="Times New Roman" w:hAnsi="Arial" w:cs="Arial"/>
          <w:bCs/>
          <w:lang w:val="cs-CZ"/>
        </w:rPr>
        <w:t xml:space="preserve">(1,3-dichloro-2-propyl) </w:t>
      </w:r>
      <w:proofErr w:type="spellStart"/>
      <w:r w:rsidR="008579BC" w:rsidRPr="008579BC">
        <w:rPr>
          <w:rFonts w:ascii="Arial" w:eastAsia="Times New Roman" w:hAnsi="Arial" w:cs="Arial"/>
          <w:bCs/>
          <w:lang w:val="cs-CZ"/>
        </w:rPr>
        <w:t>phosphate</w:t>
      </w:r>
      <w:proofErr w:type="spellEnd"/>
      <w:r w:rsidR="000859D5">
        <w:rPr>
          <w:rFonts w:ascii="Arial" w:eastAsia="Times New Roman" w:hAnsi="Arial" w:cs="Arial"/>
          <w:bCs/>
          <w:lang w:val="cs-CZ"/>
        </w:rPr>
        <w:t xml:space="preserve"> (</w:t>
      </w:r>
      <w:r w:rsidR="000859D5" w:rsidRPr="008579BC">
        <w:rPr>
          <w:rFonts w:ascii="Arial" w:eastAsia="Times New Roman" w:hAnsi="Arial" w:cs="Arial"/>
          <w:bCs/>
        </w:rPr>
        <w:t>TDCIPP</w:t>
      </w:r>
      <w:r w:rsidR="008579BC">
        <w:rPr>
          <w:rFonts w:ascii="Arial" w:hAnsi="Arial" w:cs="Arial"/>
          <w:bCs/>
          <w:lang w:val="cs-CZ"/>
        </w:rPr>
        <w:t>)</w:t>
      </w:r>
      <w:r w:rsidR="00B24F7E">
        <w:rPr>
          <w:rFonts w:ascii="Arial" w:eastAsia="Times New Roman" w:hAnsi="Arial" w:cs="Arial"/>
          <w:bCs/>
        </w:rPr>
        <w:t xml:space="preserve">. </w:t>
      </w:r>
      <w:r w:rsidR="008579BC" w:rsidRPr="008579BC">
        <w:rPr>
          <w:rFonts w:ascii="Arial" w:eastAsia="Times New Roman" w:hAnsi="Arial" w:cs="Arial"/>
          <w:bCs/>
        </w:rPr>
        <w:t>The highest TBOEP concentrations were found in US dust (median 21</w:t>
      </w:r>
      <w:r w:rsidR="00B24F7E">
        <w:rPr>
          <w:rFonts w:ascii="Arial" w:eastAsia="Times New Roman" w:hAnsi="Arial" w:cs="Arial"/>
          <w:bCs/>
        </w:rPr>
        <w:t>,</w:t>
      </w:r>
      <w:r w:rsidR="008579BC" w:rsidRPr="008579BC">
        <w:rPr>
          <w:rFonts w:ascii="Arial" w:eastAsia="Times New Roman" w:hAnsi="Arial" w:cs="Arial"/>
          <w:bCs/>
        </w:rPr>
        <w:t>200 ng/g) and Canadian dust (median 6</w:t>
      </w:r>
      <w:r w:rsidR="00B24F7E">
        <w:rPr>
          <w:rFonts w:ascii="Arial" w:eastAsia="Times New Roman" w:hAnsi="Arial" w:cs="Arial"/>
          <w:bCs/>
        </w:rPr>
        <w:t>,</w:t>
      </w:r>
      <w:r w:rsidR="008579BC" w:rsidRPr="008579BC">
        <w:rPr>
          <w:rFonts w:ascii="Arial" w:eastAsia="Times New Roman" w:hAnsi="Arial" w:cs="Arial"/>
          <w:bCs/>
        </w:rPr>
        <w:t>390 ng/g) while Czech dust was dominated by TCIPP (median 1</w:t>
      </w:r>
      <w:r w:rsidR="00B24F7E">
        <w:rPr>
          <w:rFonts w:ascii="Arial" w:eastAsia="Times New Roman" w:hAnsi="Arial" w:cs="Arial"/>
          <w:bCs/>
        </w:rPr>
        <w:t>,</w:t>
      </w:r>
      <w:r w:rsidR="008579BC" w:rsidRPr="008579BC">
        <w:rPr>
          <w:rFonts w:ascii="Arial" w:eastAsia="Times New Roman" w:hAnsi="Arial" w:cs="Arial"/>
          <w:bCs/>
        </w:rPr>
        <w:t>860 ng/g). Although TCIPP was prevalent in Czech window film (median 566 ng/m</w:t>
      </w:r>
      <w:r w:rsidR="008579BC" w:rsidRPr="00A27663">
        <w:rPr>
          <w:rFonts w:ascii="Arial" w:eastAsia="Times New Roman" w:hAnsi="Arial" w:cs="Arial"/>
          <w:bCs/>
          <w:vertAlign w:val="superscript"/>
        </w:rPr>
        <w:t>2</w:t>
      </w:r>
      <w:r w:rsidR="008579BC" w:rsidRPr="008579BC">
        <w:rPr>
          <w:rFonts w:ascii="Arial" w:eastAsia="Times New Roman" w:hAnsi="Arial" w:cs="Arial"/>
          <w:bCs/>
        </w:rPr>
        <w:t>), US and Canadian window film samples primarily contained TDCIPP (medians 83.2 ng/m</w:t>
      </w:r>
      <w:r w:rsidR="008579BC" w:rsidRPr="00A27663">
        <w:rPr>
          <w:rFonts w:ascii="Arial" w:eastAsia="Times New Roman" w:hAnsi="Arial" w:cs="Arial"/>
          <w:bCs/>
          <w:vertAlign w:val="superscript"/>
        </w:rPr>
        <w:t>2</w:t>
      </w:r>
      <w:r w:rsidR="008579BC" w:rsidRPr="008579BC">
        <w:rPr>
          <w:rFonts w:ascii="Arial" w:eastAsia="Times New Roman" w:hAnsi="Arial" w:cs="Arial"/>
          <w:bCs/>
        </w:rPr>
        <w:t xml:space="preserve"> and 82.3 ng/m</w:t>
      </w:r>
      <w:r w:rsidR="008579BC" w:rsidRPr="00A27663">
        <w:rPr>
          <w:rFonts w:ascii="Arial" w:eastAsia="Times New Roman" w:hAnsi="Arial" w:cs="Arial"/>
          <w:bCs/>
          <w:vertAlign w:val="superscript"/>
        </w:rPr>
        <w:t>2</w:t>
      </w:r>
      <w:r w:rsidR="008579BC" w:rsidRPr="008579BC">
        <w:rPr>
          <w:rFonts w:ascii="Arial" w:eastAsia="Times New Roman" w:hAnsi="Arial" w:cs="Arial"/>
          <w:bCs/>
        </w:rPr>
        <w:t xml:space="preserve">). </w:t>
      </w:r>
      <w:r w:rsidR="008579BC" w:rsidRPr="00452BA8">
        <w:rPr>
          <w:rFonts w:ascii="Arial" w:eastAsia="Times New Roman" w:hAnsi="Arial" w:cs="Arial"/>
          <w:bCs/>
        </w:rPr>
        <w:t>In all three countries, air samples were dominated by TCIPP, with the highest levels found in Canadian (median 73.6 ng/m</w:t>
      </w:r>
      <w:r w:rsidR="008579BC" w:rsidRPr="004A69E0">
        <w:rPr>
          <w:rFonts w:ascii="Arial" w:eastAsia="Times New Roman" w:hAnsi="Arial" w:cs="Arial"/>
          <w:bCs/>
          <w:vertAlign w:val="superscript"/>
        </w:rPr>
        <w:t>3</w:t>
      </w:r>
      <w:r w:rsidR="008579BC" w:rsidRPr="00452BA8">
        <w:rPr>
          <w:rFonts w:ascii="Arial" w:eastAsia="Times New Roman" w:hAnsi="Arial" w:cs="Arial"/>
          <w:bCs/>
        </w:rPr>
        <w:t>), followed by the US</w:t>
      </w:r>
      <w:r w:rsidR="002F5C10">
        <w:rPr>
          <w:rFonts w:ascii="Arial" w:eastAsia="Times New Roman" w:hAnsi="Arial" w:cs="Arial"/>
          <w:bCs/>
        </w:rPr>
        <w:t xml:space="preserve"> (median 26.3 ng/m</w:t>
      </w:r>
      <w:r w:rsidR="002F5C10" w:rsidRPr="004A69E0">
        <w:rPr>
          <w:rFonts w:ascii="Arial" w:eastAsia="Times New Roman" w:hAnsi="Arial" w:cs="Arial"/>
          <w:bCs/>
          <w:vertAlign w:val="superscript"/>
        </w:rPr>
        <w:t>3</w:t>
      </w:r>
      <w:r w:rsidR="002F5C10">
        <w:rPr>
          <w:rFonts w:ascii="Arial" w:eastAsia="Times New Roman" w:hAnsi="Arial" w:cs="Arial"/>
          <w:bCs/>
        </w:rPr>
        <w:t>) and the Czech</w:t>
      </w:r>
      <w:r w:rsidR="008579BC" w:rsidRPr="00452BA8">
        <w:rPr>
          <w:rFonts w:ascii="Arial" w:eastAsia="Times New Roman" w:hAnsi="Arial" w:cs="Arial"/>
          <w:bCs/>
        </w:rPr>
        <w:t xml:space="preserve"> (median 16.4 ng/m</w:t>
      </w:r>
      <w:r w:rsidR="008579BC" w:rsidRPr="004A69E0">
        <w:rPr>
          <w:rFonts w:ascii="Arial" w:eastAsia="Times New Roman" w:hAnsi="Arial" w:cs="Arial"/>
          <w:bCs/>
          <w:vertAlign w:val="superscript"/>
        </w:rPr>
        <w:t>3</w:t>
      </w:r>
      <w:r w:rsidR="0029438A">
        <w:rPr>
          <w:rFonts w:ascii="Arial" w:eastAsia="Times New Roman" w:hAnsi="Arial" w:cs="Arial"/>
          <w:bCs/>
        </w:rPr>
        <w:t xml:space="preserve">). </w:t>
      </w:r>
      <w:r w:rsidR="004124C1" w:rsidRPr="008579BC">
        <w:rPr>
          <w:rFonts w:ascii="Arial" w:eastAsia="Times New Roman" w:hAnsi="Arial" w:cs="Arial"/>
          <w:bCs/>
        </w:rPr>
        <w:t>The results suggest there are general similarities in the use and composition of OPFRs between Europe and North America, but differences in individual OPFRs which may be indicative of differences in use between the two continents</w:t>
      </w:r>
      <w:r w:rsidR="00D5117F" w:rsidRPr="008579BC">
        <w:rPr>
          <w:rFonts w:ascii="Arial" w:eastAsia="Times New Roman" w:hAnsi="Arial" w:cs="Arial"/>
          <w:bCs/>
        </w:rPr>
        <w:t>.</w:t>
      </w:r>
    </w:p>
    <w:p w:rsidR="00136AF1" w:rsidRPr="008579BC" w:rsidRDefault="00136AF1" w:rsidP="006B1095">
      <w:pPr>
        <w:pStyle w:val="Bezmezer"/>
        <w:spacing w:line="360" w:lineRule="auto"/>
        <w:rPr>
          <w:rFonts w:ascii="Arial" w:eastAsia="Times New Roman" w:hAnsi="Arial" w:cs="Arial"/>
          <w:bCs/>
        </w:rPr>
      </w:pPr>
    </w:p>
    <w:p w:rsidR="00DE53B1" w:rsidRPr="0029438A" w:rsidRDefault="00157D11" w:rsidP="0029438A">
      <w:pPr>
        <w:pStyle w:val="Bezmezer"/>
        <w:spacing w:line="360" w:lineRule="auto"/>
        <w:rPr>
          <w:rFonts w:ascii="Arial" w:eastAsia="Times New Roman" w:hAnsi="Arial" w:cs="Arial"/>
          <w:bCs/>
        </w:rPr>
      </w:pPr>
      <w:r w:rsidRPr="008579BC">
        <w:rPr>
          <w:rFonts w:ascii="Arial" w:eastAsia="Times New Roman" w:hAnsi="Arial" w:cs="Arial"/>
          <w:b/>
          <w:sz w:val="24"/>
          <w:szCs w:val="24"/>
        </w:rPr>
        <w:t xml:space="preserve">Key words: </w:t>
      </w:r>
      <w:r w:rsidR="006B1095" w:rsidRPr="008579BC">
        <w:rPr>
          <w:rFonts w:ascii="Arial" w:eastAsia="Times New Roman" w:hAnsi="Arial" w:cs="Arial"/>
          <w:bCs/>
        </w:rPr>
        <w:t>organophosphate flame</w:t>
      </w:r>
      <w:r w:rsidR="001D4781">
        <w:rPr>
          <w:rFonts w:ascii="Arial" w:eastAsia="Times New Roman" w:hAnsi="Arial" w:cs="Arial"/>
          <w:bCs/>
        </w:rPr>
        <w:t xml:space="preserve"> </w:t>
      </w:r>
      <w:r w:rsidR="001D4781" w:rsidRPr="001D4781">
        <w:rPr>
          <w:rFonts w:ascii="Arial" w:eastAsia="Times New Roman" w:hAnsi="Arial" w:cs="Arial"/>
          <w:bCs/>
        </w:rPr>
        <w:t>retardants (OPFRs), indoor environment, human exposure, indoor dust</w:t>
      </w:r>
      <w:r w:rsidR="007A17C9" w:rsidRPr="008579BC">
        <w:rPr>
          <w:rFonts w:ascii="Arial" w:eastAsia="Times New Roman" w:hAnsi="Arial" w:cs="Arial"/>
          <w:bCs/>
        </w:rPr>
        <w:t xml:space="preserve"> </w:t>
      </w:r>
    </w:p>
    <w:sectPr w:rsidR="00DE53B1" w:rsidRPr="0029438A" w:rsidSect="003B08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5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5B2E3F"/>
    <w:rsid w:val="00020D3B"/>
    <w:rsid w:val="00062F5F"/>
    <w:rsid w:val="00063DFC"/>
    <w:rsid w:val="00084209"/>
    <w:rsid w:val="000859D5"/>
    <w:rsid w:val="000D565B"/>
    <w:rsid w:val="00136AF1"/>
    <w:rsid w:val="00157D11"/>
    <w:rsid w:val="00163D47"/>
    <w:rsid w:val="001B71AB"/>
    <w:rsid w:val="001C07FD"/>
    <w:rsid w:val="001C7E81"/>
    <w:rsid w:val="001D4781"/>
    <w:rsid w:val="001E7EFC"/>
    <w:rsid w:val="001F3DF8"/>
    <w:rsid w:val="001F730C"/>
    <w:rsid w:val="0020348E"/>
    <w:rsid w:val="002109FC"/>
    <w:rsid w:val="002607E0"/>
    <w:rsid w:val="00287BAB"/>
    <w:rsid w:val="00291641"/>
    <w:rsid w:val="0029438A"/>
    <w:rsid w:val="00297FAF"/>
    <w:rsid w:val="002B05C9"/>
    <w:rsid w:val="002B6E84"/>
    <w:rsid w:val="002E4F53"/>
    <w:rsid w:val="002F5C10"/>
    <w:rsid w:val="00311952"/>
    <w:rsid w:val="00320931"/>
    <w:rsid w:val="00354C77"/>
    <w:rsid w:val="003B0888"/>
    <w:rsid w:val="003B1106"/>
    <w:rsid w:val="003E5C74"/>
    <w:rsid w:val="004124C1"/>
    <w:rsid w:val="00444233"/>
    <w:rsid w:val="00452BA8"/>
    <w:rsid w:val="0045637A"/>
    <w:rsid w:val="004809EA"/>
    <w:rsid w:val="00486F60"/>
    <w:rsid w:val="004A69E0"/>
    <w:rsid w:val="004B72FB"/>
    <w:rsid w:val="004C5A4F"/>
    <w:rsid w:val="004E721A"/>
    <w:rsid w:val="00522841"/>
    <w:rsid w:val="00540DC5"/>
    <w:rsid w:val="00553412"/>
    <w:rsid w:val="00593E04"/>
    <w:rsid w:val="005B2E3F"/>
    <w:rsid w:val="005C50B9"/>
    <w:rsid w:val="005E0F67"/>
    <w:rsid w:val="005F3222"/>
    <w:rsid w:val="00605073"/>
    <w:rsid w:val="00607701"/>
    <w:rsid w:val="00644A1D"/>
    <w:rsid w:val="00652758"/>
    <w:rsid w:val="00697349"/>
    <w:rsid w:val="006975F3"/>
    <w:rsid w:val="006B1095"/>
    <w:rsid w:val="006D04AC"/>
    <w:rsid w:val="00711FF0"/>
    <w:rsid w:val="00722036"/>
    <w:rsid w:val="007242F6"/>
    <w:rsid w:val="007404CE"/>
    <w:rsid w:val="00753F93"/>
    <w:rsid w:val="00762F94"/>
    <w:rsid w:val="007A17C9"/>
    <w:rsid w:val="007B39C7"/>
    <w:rsid w:val="007B55A2"/>
    <w:rsid w:val="007E2FC2"/>
    <w:rsid w:val="008467C2"/>
    <w:rsid w:val="008573CD"/>
    <w:rsid w:val="008579BC"/>
    <w:rsid w:val="00864D2C"/>
    <w:rsid w:val="00891610"/>
    <w:rsid w:val="008E7B80"/>
    <w:rsid w:val="00926C2B"/>
    <w:rsid w:val="00943566"/>
    <w:rsid w:val="009628B5"/>
    <w:rsid w:val="00990D66"/>
    <w:rsid w:val="00997EFF"/>
    <w:rsid w:val="009A18BC"/>
    <w:rsid w:val="009A656C"/>
    <w:rsid w:val="009B4C12"/>
    <w:rsid w:val="009B7D66"/>
    <w:rsid w:val="009D4F32"/>
    <w:rsid w:val="00A12429"/>
    <w:rsid w:val="00A27663"/>
    <w:rsid w:val="00A76416"/>
    <w:rsid w:val="00B178D5"/>
    <w:rsid w:val="00B24F7E"/>
    <w:rsid w:val="00BC034C"/>
    <w:rsid w:val="00BC57D8"/>
    <w:rsid w:val="00BD193B"/>
    <w:rsid w:val="00C116D8"/>
    <w:rsid w:val="00C11CDA"/>
    <w:rsid w:val="00C15BFA"/>
    <w:rsid w:val="00C466E9"/>
    <w:rsid w:val="00C6218B"/>
    <w:rsid w:val="00C62CE8"/>
    <w:rsid w:val="00C81863"/>
    <w:rsid w:val="00C81B5F"/>
    <w:rsid w:val="00C90AD6"/>
    <w:rsid w:val="00CA0C13"/>
    <w:rsid w:val="00CE239D"/>
    <w:rsid w:val="00CE66ED"/>
    <w:rsid w:val="00D118EC"/>
    <w:rsid w:val="00D4533D"/>
    <w:rsid w:val="00D5117F"/>
    <w:rsid w:val="00DC6A50"/>
    <w:rsid w:val="00DD14DF"/>
    <w:rsid w:val="00DD1E00"/>
    <w:rsid w:val="00DE53B1"/>
    <w:rsid w:val="00E00E3D"/>
    <w:rsid w:val="00E417C2"/>
    <w:rsid w:val="00E47FEB"/>
    <w:rsid w:val="00E712F0"/>
    <w:rsid w:val="00E929BF"/>
    <w:rsid w:val="00EB192B"/>
    <w:rsid w:val="00F030E5"/>
    <w:rsid w:val="00F03FD1"/>
    <w:rsid w:val="00F17D91"/>
    <w:rsid w:val="00F26111"/>
    <w:rsid w:val="00F40803"/>
    <w:rsid w:val="00F51C3E"/>
    <w:rsid w:val="00F66053"/>
    <w:rsid w:val="00F76DB0"/>
    <w:rsid w:val="00FA4724"/>
    <w:rsid w:val="00FF380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7D66"/>
  </w:style>
  <w:style w:type="paragraph" w:styleId="Nadpis1">
    <w:name w:val="heading 1"/>
    <w:basedOn w:val="Normln"/>
    <w:next w:val="Normln"/>
    <w:link w:val="Nadpis1Char"/>
    <w:uiPriority w:val="9"/>
    <w:qFormat/>
    <w:rsid w:val="00C15B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Nzevknihy">
    <w:name w:val="Book Title"/>
    <w:basedOn w:val="Standardnpsmoodstavce"/>
    <w:uiPriority w:val="33"/>
    <w:qFormat/>
    <w:rsid w:val="005B2E3F"/>
    <w:rPr>
      <w:b/>
      <w:bCs/>
      <w:smallCaps/>
      <w:spacing w:val="5"/>
    </w:rPr>
  </w:style>
  <w:style w:type="paragraph" w:styleId="Bezmezer">
    <w:name w:val="No Spacing"/>
    <w:uiPriority w:val="1"/>
    <w:qFormat/>
    <w:rsid w:val="005B2E3F"/>
    <w:pPr>
      <w:spacing w:after="0" w:line="240" w:lineRule="auto"/>
    </w:pPr>
    <w:rPr>
      <w:lang w:val="en-US"/>
    </w:rPr>
  </w:style>
  <w:style w:type="character" w:styleId="Hypertextovodkaz">
    <w:name w:val="Hyperlink"/>
    <w:semiHidden/>
    <w:rsid w:val="005B2E3F"/>
    <w:rPr>
      <w:color w:val="0000FF"/>
      <w:u w:val="single"/>
    </w:rPr>
  </w:style>
  <w:style w:type="paragraph" w:customStyle="1" w:styleId="Authors">
    <w:name w:val="Authors"/>
    <w:basedOn w:val="Normln"/>
    <w:qFormat/>
    <w:rsid w:val="005B2E3F"/>
    <w:pPr>
      <w:spacing w:after="240" w:line="240" w:lineRule="auto"/>
      <w:jc w:val="center"/>
    </w:pPr>
    <w:rPr>
      <w:rFonts w:ascii="Arial" w:eastAsia="Times New Roman" w:hAnsi="Arial" w:cs="Arial"/>
      <w:noProof/>
      <w:sz w:val="24"/>
      <w:szCs w:val="24"/>
      <w:lang w:val="en-GB"/>
    </w:rPr>
  </w:style>
  <w:style w:type="paragraph" w:customStyle="1" w:styleId="Affiliation">
    <w:name w:val="Affiliation"/>
    <w:basedOn w:val="Normln"/>
    <w:qFormat/>
    <w:rsid w:val="005B2E3F"/>
    <w:pPr>
      <w:pBdr>
        <w:bottom w:val="single" w:sz="8" w:space="10" w:color="auto"/>
      </w:pBdr>
      <w:spacing w:after="0" w:line="240" w:lineRule="auto"/>
      <w:jc w:val="center"/>
    </w:pPr>
    <w:rPr>
      <w:rFonts w:ascii="Arial" w:eastAsia="Times New Roman" w:hAnsi="Arial" w:cs="Arial"/>
      <w:noProof/>
      <w:sz w:val="20"/>
      <w:szCs w:val="24"/>
      <w:lang w:val="en-GB"/>
    </w:rPr>
  </w:style>
  <w:style w:type="character" w:customStyle="1" w:styleId="Nadpis1Char">
    <w:name w:val="Nadpis 1 Char"/>
    <w:basedOn w:val="Standardnpsmoodstavce"/>
    <w:link w:val="Nadpis1"/>
    <w:uiPriority w:val="9"/>
    <w:rsid w:val="00C15BFA"/>
    <w:rPr>
      <w:rFonts w:asciiTheme="majorHAnsi" w:eastAsiaTheme="majorEastAsia" w:hAnsiTheme="majorHAnsi" w:cstheme="majorBidi"/>
      <w:b/>
      <w:bCs/>
      <w:color w:val="365F91" w:themeColor="accent1" w:themeShade="BF"/>
      <w:sz w:val="28"/>
      <w:szCs w:val="28"/>
      <w:lang w:val="en-US" w:eastAsia="cs-CZ"/>
    </w:rPr>
  </w:style>
  <w:style w:type="character" w:styleId="Sledovanodkaz">
    <w:name w:val="FollowedHyperlink"/>
    <w:basedOn w:val="Standardnpsmoodstavce"/>
    <w:uiPriority w:val="99"/>
    <w:semiHidden/>
    <w:unhideWhenUsed/>
    <w:rsid w:val="001F3DF8"/>
    <w:rPr>
      <w:color w:val="800080" w:themeColor="followedHyperlink"/>
      <w:u w:val="single"/>
    </w:rPr>
  </w:style>
  <w:style w:type="character" w:styleId="Odkaznakoment">
    <w:name w:val="annotation reference"/>
    <w:basedOn w:val="Standardnpsmoodstavce"/>
    <w:uiPriority w:val="99"/>
    <w:semiHidden/>
    <w:unhideWhenUsed/>
    <w:rsid w:val="00D5117F"/>
    <w:rPr>
      <w:sz w:val="16"/>
      <w:szCs w:val="16"/>
    </w:rPr>
  </w:style>
  <w:style w:type="paragraph" w:styleId="Textkomente">
    <w:name w:val="annotation text"/>
    <w:basedOn w:val="Normln"/>
    <w:link w:val="TextkomenteChar"/>
    <w:uiPriority w:val="99"/>
    <w:semiHidden/>
    <w:unhideWhenUsed/>
    <w:rsid w:val="00D5117F"/>
    <w:pPr>
      <w:spacing w:line="240" w:lineRule="auto"/>
    </w:pPr>
    <w:rPr>
      <w:sz w:val="20"/>
      <w:szCs w:val="20"/>
    </w:rPr>
  </w:style>
  <w:style w:type="character" w:customStyle="1" w:styleId="TextkomenteChar">
    <w:name w:val="Text komentáře Char"/>
    <w:basedOn w:val="Standardnpsmoodstavce"/>
    <w:link w:val="Textkomente"/>
    <w:uiPriority w:val="99"/>
    <w:semiHidden/>
    <w:rsid w:val="00D5117F"/>
    <w:rPr>
      <w:sz w:val="20"/>
      <w:szCs w:val="20"/>
      <w:lang w:val="en-US"/>
    </w:rPr>
  </w:style>
  <w:style w:type="paragraph" w:styleId="Pedmtkomente">
    <w:name w:val="annotation subject"/>
    <w:basedOn w:val="Textkomente"/>
    <w:next w:val="Textkomente"/>
    <w:link w:val="PedmtkomenteChar"/>
    <w:uiPriority w:val="99"/>
    <w:semiHidden/>
    <w:unhideWhenUsed/>
    <w:rsid w:val="00D5117F"/>
    <w:rPr>
      <w:b/>
      <w:bCs/>
    </w:rPr>
  </w:style>
  <w:style w:type="character" w:customStyle="1" w:styleId="PedmtkomenteChar">
    <w:name w:val="Předmět komentáře Char"/>
    <w:basedOn w:val="TextkomenteChar"/>
    <w:link w:val="Pedmtkomente"/>
    <w:uiPriority w:val="99"/>
    <w:semiHidden/>
    <w:rsid w:val="00D5117F"/>
    <w:rPr>
      <w:b/>
      <w:bCs/>
      <w:sz w:val="20"/>
      <w:szCs w:val="20"/>
      <w:lang w:val="en-US"/>
    </w:rPr>
  </w:style>
  <w:style w:type="paragraph" w:styleId="Textbubliny">
    <w:name w:val="Balloon Text"/>
    <w:basedOn w:val="Normln"/>
    <w:link w:val="TextbublinyChar"/>
    <w:uiPriority w:val="99"/>
    <w:semiHidden/>
    <w:unhideWhenUsed/>
    <w:rsid w:val="00D5117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5117F"/>
    <w:rPr>
      <w:rFonts w:ascii="Tahoma" w:hAnsi="Tahoma" w:cs="Tahoma"/>
      <w:sz w:val="16"/>
      <w:szCs w:val="16"/>
      <w:lang w:val="en-US"/>
    </w:rPr>
  </w:style>
  <w:style w:type="paragraph" w:styleId="Normlnweb">
    <w:name w:val="Normal (Web)"/>
    <w:basedOn w:val="Normln"/>
    <w:uiPriority w:val="99"/>
    <w:semiHidden/>
    <w:unhideWhenUsed/>
    <w:rsid w:val="008579B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96033">
      <w:bodyDiv w:val="1"/>
      <w:marLeft w:val="0"/>
      <w:marRight w:val="0"/>
      <w:marTop w:val="0"/>
      <w:marBottom w:val="0"/>
      <w:divBdr>
        <w:top w:val="none" w:sz="0" w:space="0" w:color="auto"/>
        <w:left w:val="none" w:sz="0" w:space="0" w:color="auto"/>
        <w:bottom w:val="none" w:sz="0" w:space="0" w:color="auto"/>
        <w:right w:val="none" w:sz="0" w:space="0" w:color="auto"/>
      </w:divBdr>
    </w:div>
    <w:div w:id="389573799">
      <w:bodyDiv w:val="1"/>
      <w:marLeft w:val="0"/>
      <w:marRight w:val="0"/>
      <w:marTop w:val="0"/>
      <w:marBottom w:val="0"/>
      <w:divBdr>
        <w:top w:val="none" w:sz="0" w:space="0" w:color="auto"/>
        <w:left w:val="none" w:sz="0" w:space="0" w:color="auto"/>
        <w:bottom w:val="none" w:sz="0" w:space="0" w:color="auto"/>
        <w:right w:val="none" w:sz="0" w:space="0" w:color="auto"/>
      </w:divBdr>
    </w:div>
    <w:div w:id="421225698">
      <w:bodyDiv w:val="1"/>
      <w:marLeft w:val="0"/>
      <w:marRight w:val="0"/>
      <w:marTop w:val="0"/>
      <w:marBottom w:val="0"/>
      <w:divBdr>
        <w:top w:val="none" w:sz="0" w:space="0" w:color="auto"/>
        <w:left w:val="none" w:sz="0" w:space="0" w:color="auto"/>
        <w:bottom w:val="none" w:sz="0" w:space="0" w:color="auto"/>
        <w:right w:val="none" w:sz="0" w:space="0" w:color="auto"/>
      </w:divBdr>
      <w:divsChild>
        <w:div w:id="1933122629">
          <w:marLeft w:val="547"/>
          <w:marRight w:val="0"/>
          <w:marTop w:val="0"/>
          <w:marBottom w:val="0"/>
          <w:divBdr>
            <w:top w:val="none" w:sz="0" w:space="0" w:color="auto"/>
            <w:left w:val="none" w:sz="0" w:space="0" w:color="auto"/>
            <w:bottom w:val="none" w:sz="0" w:space="0" w:color="auto"/>
            <w:right w:val="none" w:sz="0" w:space="0" w:color="auto"/>
          </w:divBdr>
        </w:div>
        <w:div w:id="1766728496">
          <w:marLeft w:val="3845"/>
          <w:marRight w:val="0"/>
          <w:marTop w:val="0"/>
          <w:marBottom w:val="0"/>
          <w:divBdr>
            <w:top w:val="none" w:sz="0" w:space="0" w:color="auto"/>
            <w:left w:val="none" w:sz="0" w:space="0" w:color="auto"/>
            <w:bottom w:val="none" w:sz="0" w:space="0" w:color="auto"/>
            <w:right w:val="none" w:sz="0" w:space="0" w:color="auto"/>
          </w:divBdr>
        </w:div>
        <w:div w:id="604731149">
          <w:marLeft w:val="3845"/>
          <w:marRight w:val="0"/>
          <w:marTop w:val="0"/>
          <w:marBottom w:val="0"/>
          <w:divBdr>
            <w:top w:val="none" w:sz="0" w:space="0" w:color="auto"/>
            <w:left w:val="none" w:sz="0" w:space="0" w:color="auto"/>
            <w:bottom w:val="none" w:sz="0" w:space="0" w:color="auto"/>
            <w:right w:val="none" w:sz="0" w:space="0" w:color="auto"/>
          </w:divBdr>
        </w:div>
        <w:div w:id="727606823">
          <w:marLeft w:val="3845"/>
          <w:marRight w:val="0"/>
          <w:marTop w:val="0"/>
          <w:marBottom w:val="0"/>
          <w:divBdr>
            <w:top w:val="none" w:sz="0" w:space="0" w:color="auto"/>
            <w:left w:val="none" w:sz="0" w:space="0" w:color="auto"/>
            <w:bottom w:val="none" w:sz="0" w:space="0" w:color="auto"/>
            <w:right w:val="none" w:sz="0" w:space="0" w:color="auto"/>
          </w:divBdr>
        </w:div>
      </w:divsChild>
    </w:div>
    <w:div w:id="741417357">
      <w:bodyDiv w:val="1"/>
      <w:marLeft w:val="0"/>
      <w:marRight w:val="0"/>
      <w:marTop w:val="0"/>
      <w:marBottom w:val="0"/>
      <w:divBdr>
        <w:top w:val="none" w:sz="0" w:space="0" w:color="auto"/>
        <w:left w:val="none" w:sz="0" w:space="0" w:color="auto"/>
        <w:bottom w:val="none" w:sz="0" w:space="0" w:color="auto"/>
        <w:right w:val="none" w:sz="0" w:space="0" w:color="auto"/>
      </w:divBdr>
      <w:divsChild>
        <w:div w:id="1493567550">
          <w:marLeft w:val="547"/>
          <w:marRight w:val="0"/>
          <w:marTop w:val="0"/>
          <w:marBottom w:val="0"/>
          <w:divBdr>
            <w:top w:val="none" w:sz="0" w:space="0" w:color="auto"/>
            <w:left w:val="none" w:sz="0" w:space="0" w:color="auto"/>
            <w:bottom w:val="none" w:sz="0" w:space="0" w:color="auto"/>
            <w:right w:val="none" w:sz="0" w:space="0" w:color="auto"/>
          </w:divBdr>
        </w:div>
      </w:divsChild>
    </w:div>
    <w:div w:id="860506226">
      <w:bodyDiv w:val="1"/>
      <w:marLeft w:val="0"/>
      <w:marRight w:val="0"/>
      <w:marTop w:val="0"/>
      <w:marBottom w:val="0"/>
      <w:divBdr>
        <w:top w:val="none" w:sz="0" w:space="0" w:color="auto"/>
        <w:left w:val="none" w:sz="0" w:space="0" w:color="auto"/>
        <w:bottom w:val="none" w:sz="0" w:space="0" w:color="auto"/>
        <w:right w:val="none" w:sz="0" w:space="0" w:color="auto"/>
      </w:divBdr>
    </w:div>
    <w:div w:id="90120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ratka@recetox.muni.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AA289-186B-4359-9BC9-F42D7159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3238</Characters>
  <Application>Microsoft Office Word</Application>
  <DocSecurity>0</DocSecurity>
  <Lines>26</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kratka</dc:creator>
  <cp:lastModifiedBy>pinkas</cp:lastModifiedBy>
  <cp:revision>2</cp:revision>
  <dcterms:created xsi:type="dcterms:W3CDTF">2017-01-09T14:00:00Z</dcterms:created>
  <dcterms:modified xsi:type="dcterms:W3CDTF">2017-01-09T14:00:00Z</dcterms:modified>
</cp:coreProperties>
</file>