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left"/>
        <w:rPr>
          <w:b/>
          <w:u w:val="single"/>
        </w:rPr>
      </w:pPr>
      <w:r>
        <w:rPr>
          <w:b/>
          <w:u w:val="single"/>
        </w:rPr>
        <w:t>Cvičení 2 – VÝVOJ TRHU PRÁCE V LETECH 1997 AŽ 2015                      5. října 2016</w:t>
      </w:r>
    </w:p>
    <w:p>
      <w:pPr>
        <w:pStyle w:val="style0"/>
        <w:jc w:val="left"/>
        <w:rPr>
          <w:b/>
          <w:u w:val="single"/>
        </w:rPr>
      </w:pPr>
      <w:r>
        <w:rPr>
          <w:b/>
          <w:u w:val="single"/>
        </w:rPr>
      </w:r>
    </w:p>
    <w:p>
      <w:pPr>
        <w:pStyle w:val="style0"/>
        <w:jc w:val="left"/>
        <w:rPr/>
      </w:pPr>
      <w:r>
        <w:rPr/>
        <w:t>Analyzujte vývoj na trhu práce ve Vámi zvoleném okrese, příslušném kraji a ČR v letech 1997 až 2015. Pro rok 2015 okomentujte i situaci za SO ORP Vašeho kraje.</w:t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/>
      </w:pPr>
      <w:r>
        <w:rPr>
          <w:u w:val="single"/>
        </w:rPr>
        <w:t>území:</w:t>
      </w:r>
      <w:r>
        <w:rPr/>
        <w:t xml:space="preserve"> Vámi zvolený okres, příslušný kraj, Česká republika (pro rok 2015 i SO ORP)</w:t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/>
      </w:pPr>
      <w:r>
        <w:rPr>
          <w:u w:val="single"/>
        </w:rPr>
        <w:t>data:</w:t>
      </w:r>
      <w:r>
        <w:rPr/>
        <w:t xml:space="preserve"> vždy k 31. 12. daného roku, na Integrovaném portálu MPSV (</w:t>
      </w:r>
      <w:hyperlink r:id="rId2">
        <w:r>
          <w:rPr>
            <w:rStyle w:val="style16"/>
          </w:rPr>
          <w:t>https://portal.mpsv.cz/sz/stat/nz/mes</w:t>
        </w:r>
      </w:hyperlink>
      <w:r>
        <w:rPr/>
        <w:t>), resp. k 31. 12. 2015 za SO ORP (</w:t>
      </w:r>
      <w:hyperlink r:id="rId3">
        <w:r>
          <w:rPr>
            <w:rStyle w:val="style16"/>
          </w:rPr>
          <w:t>https://portal.mpsv.cz/sz/stat/nz/uzem</w:t>
        </w:r>
      </w:hyperlink>
      <w:r>
        <w:rPr/>
        <w:t>)</w:t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/>
      </w:pPr>
      <w:r>
        <w:rPr>
          <w:u w:val="single"/>
        </w:rPr>
        <w:t>ukazatele:</w:t>
      </w:r>
      <w:r>
        <w:rPr/>
        <w:t xml:space="preserve"> </w:t>
      </w:r>
    </w:p>
    <w:p>
      <w:pPr>
        <w:pStyle w:val="style0"/>
        <w:jc w:val="left"/>
        <w:rPr/>
      </w:pPr>
      <w:r>
        <w:rPr/>
        <w:t>- míra registrované nezaměstnanosti, resp. podíl nezaměstnaných osob (v %)</w:t>
      </w:r>
    </w:p>
    <w:p>
      <w:pPr>
        <w:pStyle w:val="style0"/>
        <w:jc w:val="left"/>
        <w:rPr/>
      </w:pPr>
      <w:r>
        <w:rPr/>
        <w:t>- počet uchazečů na jedno volné pracovní místo</w:t>
      </w:r>
    </w:p>
    <w:p>
      <w:pPr>
        <w:pStyle w:val="style0"/>
        <w:jc w:val="left"/>
        <w:rPr/>
      </w:pPr>
      <w:r>
        <w:rPr/>
        <w:t>Výsledné hodnoty obou ukazatelů zaokrouhlujte na jedno desetinné místo.</w:t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>
          <w:b/>
        </w:rPr>
      </w:pPr>
      <w:r>
        <w:rPr>
          <w:b/>
        </w:rPr>
        <w:t>Vypracování:</w:t>
      </w:r>
    </w:p>
    <w:p>
      <w:pPr>
        <w:pStyle w:val="style0"/>
        <w:jc w:val="left"/>
        <w:rPr/>
      </w:pPr>
      <w:r>
        <w:rPr/>
        <w:t>1) tabulka „Míra nezaměstnanosti a počet uchazečů na 1 VPM v okrese XY, kraji XY a ČR v letech 1997 až 2015“</w:t>
      </w:r>
    </w:p>
    <w:p>
      <w:pPr>
        <w:pStyle w:val="style0"/>
        <w:jc w:val="left"/>
        <w:rPr/>
      </w:pPr>
      <w:r>
        <w:rPr/>
        <w:t>2) graf „Vývoj míry nezaměstnanosti v okrese XY, kraji XY a ČR v letech 1997 až 2015“</w:t>
      </w:r>
    </w:p>
    <w:p>
      <w:pPr>
        <w:pStyle w:val="style0"/>
        <w:jc w:val="left"/>
        <w:rPr/>
      </w:pPr>
      <w:r>
        <w:rPr/>
        <w:t>3) graf „Vývoj počtu uchazečů na 1 VPM v okrese XY, kraji XY a ČR v letech 1997 až 2015“</w:t>
      </w:r>
    </w:p>
    <w:p>
      <w:pPr>
        <w:pStyle w:val="style0"/>
        <w:jc w:val="left"/>
        <w:rPr/>
      </w:pPr>
      <w:r>
        <w:rPr/>
        <w:t>4) tabulka „Podíl nezaměstnaných osob a počet uchazečů na 1 VPM ve správních obvodech ORP v kraji XY k 31. 12. 2015“</w:t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>
          <w:b/>
        </w:rPr>
      </w:pPr>
      <w:r>
        <w:rPr>
          <w:b/>
        </w:rPr>
        <w:t xml:space="preserve">Do </w:t>
      </w:r>
      <w:r>
        <w:rPr>
          <w:b/>
        </w:rPr>
        <w:t>úterý</w:t>
      </w:r>
      <w:r>
        <w:rPr>
          <w:b/>
        </w:rPr>
        <w:t xml:space="preserve"> 1</w:t>
      </w:r>
      <w:r>
        <w:rPr>
          <w:b/>
        </w:rPr>
        <w:t>8</w:t>
      </w:r>
      <w:r>
        <w:rPr>
          <w:b/>
        </w:rPr>
        <w:t>. října 2016 (</w:t>
      </w:r>
      <w:r>
        <w:rPr>
          <w:b/>
        </w:rPr>
        <w:t>20.00</w:t>
      </w:r>
      <w:r>
        <w:rPr>
          <w:b/>
        </w:rPr>
        <w:t xml:space="preserve">) odevzdat do Odevzdávárny </w:t>
      </w:r>
      <w:r>
        <w:rPr>
          <w:b/>
          <w:u w:val="single"/>
        </w:rPr>
        <w:t>s interpretací výsledků</w:t>
      </w:r>
      <w:r>
        <w:rPr>
          <w:b/>
        </w:rPr>
        <w:t>.</w:t>
      </w:r>
    </w:p>
    <w:p>
      <w:pPr>
        <w:pStyle w:val="style0"/>
        <w:jc w:val="left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cs-CZ"/>
    </w:rPr>
  </w:style>
  <w:style w:styleId="style15" w:type="character">
    <w:name w:val="Standardní písmo odstavce"/>
    <w:next w:val="style15"/>
    <w:rPr/>
  </w:style>
  <w:style w:styleId="style16" w:type="character">
    <w:name w:val="Internetový odkaz"/>
    <w:basedOn w:val="style15"/>
    <w:next w:val="style16"/>
    <w:rPr>
      <w:color w:val="0000FF"/>
      <w:u w:val="single"/>
    </w:rPr>
  </w:style>
  <w:style w:styleId="style17" w:type="paragraph">
    <w:name w:val="Nadpis"/>
    <w:basedOn w:val="style0"/>
    <w:next w:val="style18"/>
    <w:pPr>
      <w:keepNext/>
      <w:spacing w:after="120" w:before="240"/>
      <w:contextualSpacing w:val="false"/>
    </w:pPr>
    <w:rPr>
      <w:rFonts w:ascii="Liberation Sans" w:cs="Droid Sans Devanagari" w:eastAsia="Droid Sans Fallback" w:hAnsi="Liberation Sans"/>
      <w:sz w:val="28"/>
      <w:szCs w:val="28"/>
    </w:rPr>
  </w:style>
  <w:style w:styleId="style18" w:type="paragraph">
    <w:name w:val="Tělo textu"/>
    <w:basedOn w:val="style0"/>
    <w:next w:val="style18"/>
    <w:pPr>
      <w:spacing w:after="120" w:before="0"/>
      <w:contextualSpacing w:val="false"/>
    </w:pPr>
    <w:rPr/>
  </w:style>
  <w:style w:styleId="style19" w:type="paragraph">
    <w:name w:val="Seznam"/>
    <w:basedOn w:val="style18"/>
    <w:next w:val="style19"/>
    <w:pPr/>
    <w:rPr>
      <w:rFonts w:cs="Droid Sans Devanagari"/>
    </w:rPr>
  </w:style>
  <w:style w:styleId="style20" w:type="paragraph">
    <w:name w:val="Popisek"/>
    <w:basedOn w:val="style0"/>
    <w:next w:val="style20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mpsv.cz/sz/stat/nz/mes" TargetMode="External"/><Relationship Id="rId3" Type="http://schemas.openxmlformats.org/officeDocument/2006/relationships/hyperlink" Target="https://portal.mpsv.cz/sz/stat/nz/uze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2016-09-27T16:40:00Z</dcterms:created>
  <dc:creator>***</dc:creator>
  <cp:lastModifiedBy>User</cp:lastModifiedBy>
  <dcterms:modified xsi:type="dcterms:W3CDTF">2016-09-27T16:40:00Z</dcterms:modified>
  <cp:revision>2</cp:revision>
  <dc:title>Cvičení 1 – ODVĚTVOVÁ STRUKTURA,                                                        27</dc:title>
</cp:coreProperties>
</file>