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Cvičení 5 – NEZAMĚSTNANOST </w:t>
      </w:r>
      <w:r>
        <w:rPr>
          <w:b/>
          <w:u w:val="single"/>
        </w:rPr>
        <w:t>V</w:t>
      </w:r>
      <w:r>
        <w:rPr>
          <w:b/>
          <w:u w:val="single"/>
        </w:rPr>
        <w:t xml:space="preserve"> „NOVÝCH ČLENSKÝCH ZEMÍ</w:t>
      </w:r>
      <w:r>
        <w:rPr>
          <w:b/>
          <w:u w:val="single"/>
        </w:rPr>
        <w:t>CH</w:t>
      </w:r>
      <w:r>
        <w:rPr>
          <w:b/>
          <w:u w:val="single"/>
        </w:rPr>
        <w:t xml:space="preserve"> EU“</w:t>
      </w:r>
    </w:p>
    <w:p>
      <w:pPr>
        <w:pStyle w:val="style0"/>
        <w:rPr>
          <w:b/>
          <w:i/>
          <w:iCs/>
          <w:u w:val="none"/>
        </w:rPr>
      </w:pPr>
      <w:r>
        <w:rPr>
          <w:b/>
          <w:i/>
          <w:iCs/>
          <w:u w:val="none"/>
        </w:rPr>
        <w:t>2. listopadu</w:t>
      </w:r>
      <w:r>
        <w:rPr>
          <w:b/>
          <w:i/>
          <w:iCs/>
          <w:u w:val="none"/>
        </w:rPr>
        <w:t xml:space="preserve"> 2016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b/>
        </w:rPr>
      </w:pPr>
      <w:r>
        <w:rPr>
          <w:b/>
        </w:rPr>
        <w:t>Zadání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 xml:space="preserve">Pracujte s výsledky Výběrového šetření pracovních sil (angl. Labour Force Survey = LFS), které poskytuje Eurostat. </w:t>
      </w:r>
    </w:p>
    <w:p>
      <w:pPr>
        <w:pStyle w:val="style0"/>
        <w:jc w:val="both"/>
        <w:rPr/>
      </w:pPr>
      <w:r>
        <w:rPr/>
        <w:t xml:space="preserve">Vytvořte graf vývoje nezaměstnanosti za „nové členské země EU“ (tj. ty, které přistoupily v roce 2004) v letech 2004 až 2015 (průměrné roční hodnoty). </w:t>
      </w:r>
    </w:p>
    <w:p>
      <w:pPr>
        <w:pStyle w:val="style0"/>
        <w:jc w:val="both"/>
        <w:rPr/>
      </w:pPr>
      <w:r>
        <w:rPr/>
        <w:t>Ve kterých 10 regionech NUTS 2 těchto zemí panovala nejvyšší a ve kterých 10 regionech NUTS 2 nejnižší nezaměstnanost v roce 2015?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b/>
        </w:rPr>
      </w:pPr>
      <w:r>
        <w:rPr>
          <w:b/>
        </w:rPr>
        <w:t>území a časové období:</w:t>
      </w:r>
    </w:p>
    <w:p>
      <w:pPr>
        <w:pStyle w:val="style0"/>
        <w:jc w:val="both"/>
        <w:rPr/>
      </w:pPr>
      <w:r>
        <w:rPr/>
      </w:r>
    </w:p>
    <w:p>
      <w:pPr>
        <w:pStyle w:val="style0"/>
        <w:numPr>
          <w:ilvl w:val="0"/>
          <w:numId w:val="2"/>
        </w:numPr>
        <w:jc w:val="both"/>
        <w:rPr/>
      </w:pPr>
      <w:r>
        <w:rPr/>
        <w:t>„</w:t>
      </w:r>
      <w:r>
        <w:rPr/>
        <w:t>nové členské země EU“ = V4 (Č</w:t>
      </w:r>
      <w:r>
        <w:rPr/>
        <w:t>esko</w:t>
      </w:r>
      <w:r>
        <w:rPr/>
        <w:t xml:space="preserve">, Slovensko, Polsko, Maďarsko) + Pobaltí + Slovinsko </w:t>
      </w:r>
      <w:r>
        <w:rPr/>
        <w:t>(kódy CZ, EE, HU, LT, LV, PL, SI, SK)</w:t>
      </w:r>
    </w:p>
    <w:p>
      <w:pPr>
        <w:pStyle w:val="style0"/>
        <w:jc w:val="both"/>
        <w:rPr/>
      </w:pPr>
      <w:r>
        <w:rPr/>
      </w:r>
    </w:p>
    <w:p>
      <w:pPr>
        <w:pStyle w:val="style0"/>
        <w:numPr>
          <w:ilvl w:val="0"/>
          <w:numId w:val="2"/>
        </w:numPr>
        <w:jc w:val="both"/>
        <w:rPr/>
      </w:pPr>
      <w:r>
        <w:rPr/>
        <w:t>období let 2004 až 2015 (průměrné roční hodnoty)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>
          <w:b/>
        </w:rPr>
        <w:t>data:</w:t>
      </w:r>
      <w:r>
        <w:rPr/>
        <w:t xml:space="preserve"> na Eurostatu</w:t>
      </w:r>
    </w:p>
    <w:p>
      <w:pPr>
        <w:pStyle w:val="style0"/>
        <w:jc w:val="both"/>
        <w:rPr/>
      </w:pPr>
      <w:r>
        <w:rPr/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 xml:space="preserve">vývoj za jednotlivé státy: </w:t>
      </w:r>
      <w:r>
        <w:rPr>
          <w:i/>
          <w:iCs/>
        </w:rPr>
        <w:t xml:space="preserve">Database – Population and social conditions – Labour market – Employment and unemployment (Labour Force Survey) – LFS series - detailed annual survey results – Total unemployment – </w:t>
      </w:r>
      <w:r>
        <w:rPr>
          <w:i/>
          <w:iCs/>
        </w:rPr>
        <w:t>Unemployment rates by sex, age and nationality (%) (lfsa_urgan)</w:t>
      </w:r>
      <w:r>
        <w:rPr/>
        <w:t xml:space="preserve"> </w:t>
      </w:r>
      <w:r>
        <w:rPr/>
        <w:t>(</w:t>
      </w:r>
      <w:hyperlink r:id="rId2">
        <w:r>
          <w:rPr>
            <w:rStyle w:val="style33"/>
          </w:rPr>
          <w:t>http://ec.europa.eu/eurostat/data/database</w:t>
        </w:r>
      </w:hyperlink>
      <w:r>
        <w:rPr/>
        <w:t>),</w:t>
      </w:r>
    </w:p>
    <w:p>
      <w:pPr>
        <w:pStyle w:val="style0"/>
        <w:jc w:val="both"/>
        <w:rPr/>
      </w:pPr>
      <w:r>
        <w:rPr/>
      </w:r>
    </w:p>
    <w:p>
      <w:pPr>
        <w:pStyle w:val="style0"/>
        <w:numPr>
          <w:ilvl w:val="0"/>
          <w:numId w:val="1"/>
        </w:numPr>
        <w:jc w:val="both"/>
        <w:rPr/>
      </w:pPr>
      <w:r>
        <w:rPr/>
        <w:t xml:space="preserve">nezaměstnanost v regionech NUTS 2: </w:t>
      </w:r>
      <w:r>
        <w:rPr>
          <w:i/>
          <w:iCs/>
        </w:rPr>
        <w:t xml:space="preserve">Database – General and regional statistics – Regional statistics by NUTS classification – Regional labour market statistics – Regional unemployment – </w:t>
      </w:r>
      <w:r>
        <w:rPr>
          <w:i/>
          <w:iCs/>
        </w:rPr>
        <w:t>Unemployment rates by sex, age and NUTS 2 regions (%) (lfst_r_lfu3rt)</w:t>
      </w:r>
      <w:r>
        <w:rPr/>
        <w:t xml:space="preserve"> (</w:t>
      </w:r>
      <w:hyperlink r:id="rId3">
        <w:r>
          <w:rPr>
            <w:rStyle w:val="style33"/>
          </w:rPr>
          <w:t>http://ec.europa.eu/eurostat/data/database</w:t>
        </w:r>
      </w:hyperlink>
      <w:r>
        <w:rPr/>
        <w:t xml:space="preserve">). 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b/>
        </w:rPr>
      </w:pPr>
      <w:r>
        <w:rPr>
          <w:b/>
        </w:rPr>
        <w:t>Vypracování: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>1) graf „Vývoj nezaměstnanosti v zemích, které přistoupily do EU v roce 2004, v letech 2004 až 2015 (průměrné roční hodnoty)“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  <w:t>2) tabulka „Deset regionů NUTS 2 (zemí, které přistoupily do EU v roce 2004) s nejvyšší a nejnižší nezaměstnaností v roce 2015“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b/>
        </w:rPr>
      </w:pPr>
      <w:r>
        <w:rPr>
          <w:b/>
        </w:rPr>
        <w:t xml:space="preserve">Do </w:t>
      </w:r>
      <w:r>
        <w:rPr>
          <w:b/>
        </w:rPr>
        <w:t>úterý 15</w:t>
      </w:r>
      <w:r>
        <w:rPr>
          <w:b/>
        </w:rPr>
        <w:t>. listopadu 2016 (</w:t>
      </w:r>
      <w:r>
        <w:rPr>
          <w:b/>
        </w:rPr>
        <w:t>20.00</w:t>
      </w:r>
      <w:r>
        <w:rPr>
          <w:b/>
        </w:rPr>
        <w:t xml:space="preserve">) odevzdat do Odevzdávárny </w:t>
      </w:r>
      <w:r>
        <w:rPr>
          <w:b/>
          <w:u w:val="single"/>
        </w:rPr>
        <w:t>s interpretací výsledků</w:t>
      </w:r>
      <w:r>
        <w:rPr>
          <w:b/>
        </w:rPr>
        <w:t>.</w:t>
      </w:r>
    </w:p>
    <w:p>
      <w:pPr>
        <w:pStyle w:val="style0"/>
        <w:jc w:val="both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Times New Roman" w:cs="Times New Roman" w:hAnsi="Times New Roman" w:hint="default"/>
      </w:rPr>
    </w:lvl>
  </w:abstractNum>
  <w:abstractNum w:abstractNumId="2">
    <w:lvl w:ilvl="0">
      <w:start w:val="1"/>
      <w:numFmt w:val="bullet"/>
      <w:lvlText w:val="-"/>
      <w:lvlJc w:val="left"/>
      <w:pPr>
        <w:ind w:hanging="360" w:left="720"/>
      </w:pPr>
      <w:rPr>
        <w:rFonts w:ascii="Times New Roman" w:cs="Times New Roman" w:hAnsi="Times New Roman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cs-CZ"/>
    </w:rPr>
  </w:style>
  <w:style w:styleId="style15" w:type="character">
    <w:name w:val="WW8Num1z0"/>
    <w:next w:val="style15"/>
    <w:rPr>
      <w:rFonts w:ascii="Times New Roman" w:cs="Times New Roman" w:eastAsia="Times New Roman" w:hAnsi="Times New Roman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WW8Num1z3"/>
    <w:next w:val="style18"/>
    <w:rPr>
      <w:rFonts w:ascii="Symbol" w:cs="Symbol" w:hAnsi="Symbol"/>
    </w:rPr>
  </w:style>
  <w:style w:styleId="style19" w:type="character">
    <w:name w:val="WW8Num2z0"/>
    <w:next w:val="style19"/>
    <w:rPr/>
  </w:style>
  <w:style w:styleId="style20" w:type="character">
    <w:name w:val="WW8Num2z1"/>
    <w:next w:val="style20"/>
    <w:rPr/>
  </w:style>
  <w:style w:styleId="style21" w:type="character">
    <w:name w:val="WW8Num2z2"/>
    <w:next w:val="style21"/>
    <w:rPr/>
  </w:style>
  <w:style w:styleId="style22" w:type="character">
    <w:name w:val="WW8Num2z3"/>
    <w:next w:val="style22"/>
    <w:rPr/>
  </w:style>
  <w:style w:styleId="style23" w:type="character">
    <w:name w:val="WW8Num2z4"/>
    <w:next w:val="style23"/>
    <w:rPr/>
  </w:style>
  <w:style w:styleId="style24" w:type="character">
    <w:name w:val="WW8Num2z5"/>
    <w:next w:val="style24"/>
    <w:rPr/>
  </w:style>
  <w:style w:styleId="style25" w:type="character">
    <w:name w:val="WW8Num2z6"/>
    <w:next w:val="style25"/>
    <w:rPr/>
  </w:style>
  <w:style w:styleId="style26" w:type="character">
    <w:name w:val="WW8Num2z7"/>
    <w:next w:val="style26"/>
    <w:rPr/>
  </w:style>
  <w:style w:styleId="style27" w:type="character">
    <w:name w:val="WW8Num2z8"/>
    <w:next w:val="style27"/>
    <w:rPr/>
  </w:style>
  <w:style w:styleId="style28" w:type="character">
    <w:name w:val="WW8Num3z0"/>
    <w:next w:val="style28"/>
    <w:rPr>
      <w:rFonts w:ascii="Times New Roman" w:cs="Times New Roman" w:eastAsia="Times New Roman" w:hAnsi="Times New Roman"/>
    </w:rPr>
  </w:style>
  <w:style w:styleId="style29" w:type="character">
    <w:name w:val="WW8Num3z1"/>
    <w:next w:val="style29"/>
    <w:rPr>
      <w:rFonts w:ascii="Courier New" w:cs="Courier New" w:hAnsi="Courier New"/>
    </w:rPr>
  </w:style>
  <w:style w:styleId="style30" w:type="character">
    <w:name w:val="WW8Num3z2"/>
    <w:next w:val="style30"/>
    <w:rPr>
      <w:rFonts w:ascii="Wingdings" w:cs="Wingdings" w:hAnsi="Wingdings"/>
    </w:rPr>
  </w:style>
  <w:style w:styleId="style31" w:type="character">
    <w:name w:val="WW8Num3z3"/>
    <w:next w:val="style31"/>
    <w:rPr>
      <w:rFonts w:ascii="Symbol" w:cs="Symbol" w:hAnsi="Symbol"/>
    </w:rPr>
  </w:style>
  <w:style w:styleId="style32" w:type="character">
    <w:name w:val="Standardní písmo odstavce"/>
    <w:next w:val="style32"/>
    <w:rPr/>
  </w:style>
  <w:style w:styleId="style33" w:type="character">
    <w:name w:val="Internetový odkaz"/>
    <w:next w:val="style33"/>
    <w:rPr>
      <w:color w:val="0000FF"/>
      <w:u w:val="single"/>
    </w:rPr>
  </w:style>
  <w:style w:styleId="style34" w:type="paragraph">
    <w:name w:val="Nadpis"/>
    <w:basedOn w:val="style0"/>
    <w:next w:val="style35"/>
    <w:pPr>
      <w:keepNext/>
      <w:spacing w:after="120" w:before="240"/>
      <w:contextualSpacing w:val="false"/>
    </w:pPr>
    <w:rPr>
      <w:rFonts w:ascii="Liberation Sans" w:cs="Droid Sans Devanagari" w:eastAsia="Droid Sans Fallback" w:hAnsi="Liberation Sans"/>
      <w:sz w:val="28"/>
      <w:szCs w:val="28"/>
    </w:rPr>
  </w:style>
  <w:style w:styleId="style35" w:type="paragraph">
    <w:name w:val="Tělo textu"/>
    <w:basedOn w:val="style0"/>
    <w:next w:val="style35"/>
    <w:pPr>
      <w:spacing w:after="120" w:before="0"/>
      <w:contextualSpacing w:val="false"/>
    </w:pPr>
    <w:rPr/>
  </w:style>
  <w:style w:styleId="style36" w:type="paragraph">
    <w:name w:val="Seznam"/>
    <w:basedOn w:val="style35"/>
    <w:next w:val="style36"/>
    <w:pPr/>
    <w:rPr>
      <w:rFonts w:cs="Droid Sans Devanagari"/>
    </w:rPr>
  </w:style>
  <w:style w:styleId="style37" w:type="paragraph">
    <w:name w:val="Popisek"/>
    <w:basedOn w:val="style0"/>
    <w:next w:val="style37"/>
    <w:pPr>
      <w:suppressLineNumbers/>
      <w:spacing w:after="120" w:before="120"/>
      <w:contextualSpacing w:val="false"/>
    </w:pPr>
    <w:rPr>
      <w:rFonts w:cs="Droid Sans Devanagari"/>
      <w:i/>
      <w:iCs/>
      <w:sz w:val="24"/>
      <w:szCs w:val="24"/>
    </w:rPr>
  </w:style>
  <w:style w:styleId="style38" w:type="paragraph">
    <w:name w:val="Rejstřík"/>
    <w:basedOn w:val="style0"/>
    <w:next w:val="style38"/>
    <w:pPr>
      <w:suppressLineNumbers/>
    </w:pPr>
    <w:rPr>
      <w:rFonts w:cs="Droid Sans Devanagari"/>
    </w:rPr>
  </w:style>
  <w:style w:styleId="style39" w:type="paragraph">
    <w:name w:val="Záhlaví"/>
    <w:basedOn w:val="style0"/>
    <w:next w:val="style39"/>
    <w:pPr>
      <w:suppressLineNumbers/>
      <w:tabs>
        <w:tab w:leader="none" w:pos="4536" w:val="center"/>
        <w:tab w:leader="none" w:pos="9072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c.europa.eu/eurostat/data/database" TargetMode="External"/><Relationship Id="rId3" Type="http://schemas.openxmlformats.org/officeDocument/2006/relationships/hyperlink" Target="http://ec.europa.eu/eurostat/data/databas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LibreOffice/4.1.6.2$Linux_x86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2016-10-18T17:38:00Z</dcterms:created>
  <dc:creator>***</dc:creator>
  <cp:lastModifiedBy>User</cp:lastModifiedBy>
  <dcterms:modified xsi:type="dcterms:W3CDTF">2016-10-18T17:38:00Z</dcterms:modified>
  <cp:revision>2</cp:revision>
  <dc:title>Cvičení 1 – ODVĚTVOVÁ STRUKTURA,                                                        27</dc:title>
</cp:coreProperties>
</file>