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3" w:rsidRPr="00487373" w:rsidRDefault="000F437C" w:rsidP="00E2353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87373">
        <w:rPr>
          <w:rFonts w:cstheme="minorHAnsi"/>
          <w:sz w:val="28"/>
          <w:szCs w:val="28"/>
        </w:rPr>
        <w:t>Lepení keramiky a kamene</w:t>
      </w:r>
    </w:p>
    <w:p w:rsidR="000F437C" w:rsidRPr="00487373" w:rsidRDefault="000F437C" w:rsidP="000F437C">
      <w:pPr>
        <w:spacing w:after="0" w:line="240" w:lineRule="auto"/>
      </w:pPr>
    </w:p>
    <w:p w:rsidR="000E39D9" w:rsidRPr="00487373" w:rsidRDefault="000E39D9" w:rsidP="00F86468">
      <w:pPr>
        <w:spacing w:after="0" w:line="240" w:lineRule="auto"/>
        <w:jc w:val="both"/>
        <w:rPr>
          <w:i/>
        </w:rPr>
      </w:pPr>
      <w:r w:rsidRPr="00487373">
        <w:rPr>
          <w:i/>
        </w:rPr>
        <w:t>Epoxidová lepidla</w:t>
      </w:r>
    </w:p>
    <w:p w:rsidR="000E39D9" w:rsidRPr="00487373" w:rsidRDefault="000E39D9" w:rsidP="00F86468">
      <w:pPr>
        <w:spacing w:after="0" w:line="240" w:lineRule="auto"/>
        <w:jc w:val="both"/>
      </w:pPr>
    </w:p>
    <w:p w:rsidR="00F86468" w:rsidRPr="00487373" w:rsidRDefault="00F86468" w:rsidP="00F86468">
      <w:pPr>
        <w:spacing w:after="0" w:line="240" w:lineRule="auto"/>
        <w:jc w:val="both"/>
      </w:pPr>
      <w:r w:rsidRPr="00487373">
        <w:t>Epoxidová lepidla patří mezi lepidla tuhnoucí v důsledku chemické reakce a mají širokou škálu využití. Připravují se reakcí vícemocných fenolů, n</w:t>
      </w:r>
      <w:bookmarkStart w:id="0" w:name="_GoBack"/>
      <w:bookmarkEnd w:id="0"/>
      <w:r w:rsidRPr="00487373">
        <w:t xml:space="preserve">ejčastěji </w:t>
      </w:r>
      <w:proofErr w:type="gramStart"/>
      <w:r w:rsidRPr="00487373">
        <w:t>2,2-bis</w:t>
      </w:r>
      <w:proofErr w:type="gramEnd"/>
      <w:r w:rsidRPr="00487373">
        <w:t xml:space="preserve">(4-hydroxyfenylpropanu) neboli tzv. </w:t>
      </w:r>
      <w:proofErr w:type="spellStart"/>
      <w:r w:rsidRPr="00487373">
        <w:t>bisfenolu</w:t>
      </w:r>
      <w:proofErr w:type="spellEnd"/>
      <w:r w:rsidRPr="00487373">
        <w:t xml:space="preserve">-A, s epichlorhydrinem, jako tvrdidlo se nejčastěji využívají polyaminy </w:t>
      </w:r>
      <w:r w:rsidR="00F45151" w:rsidRPr="00487373">
        <w:t>[1]</w:t>
      </w:r>
      <w:r w:rsidRPr="00487373">
        <w:t xml:space="preserve">. V restaurátorské praxi používané lepidlo </w:t>
      </w:r>
      <w:proofErr w:type="spellStart"/>
      <w:r w:rsidRPr="00487373">
        <w:t>Akepox</w:t>
      </w:r>
      <w:proofErr w:type="spellEnd"/>
      <w:r w:rsidRPr="00487373">
        <w:t xml:space="preserve"> 2010 je dvousložkové epoxidové lepidlo. Vedle </w:t>
      </w:r>
      <w:proofErr w:type="spellStart"/>
      <w:r w:rsidRPr="00487373">
        <w:t>bisfenolu</w:t>
      </w:r>
      <w:proofErr w:type="spellEnd"/>
      <w:r w:rsidRPr="00487373">
        <w:t xml:space="preserve">-A se zde vyskytuje také </w:t>
      </w:r>
      <w:proofErr w:type="spellStart"/>
      <w:r w:rsidRPr="00487373">
        <w:t>bisfenol</w:t>
      </w:r>
      <w:proofErr w:type="spellEnd"/>
      <w:r w:rsidRPr="00487373">
        <w:t xml:space="preserve">-F a </w:t>
      </w:r>
      <w:proofErr w:type="gramStart"/>
      <w:r w:rsidRPr="00487373">
        <w:t>1,6-hexandiol</w:t>
      </w:r>
      <w:proofErr w:type="gramEnd"/>
      <w:r w:rsidRPr="00487373">
        <w:t xml:space="preserve">, jejichž reakčními produkty po reakci s epichlorhydrinem jsou </w:t>
      </w:r>
      <w:proofErr w:type="spellStart"/>
      <w:r w:rsidRPr="00487373">
        <w:t>bisfenol</w:t>
      </w:r>
      <w:proofErr w:type="spellEnd"/>
      <w:r w:rsidRPr="00487373">
        <w:t xml:space="preserve">-A-epichlorhydrin (Obr. 1), </w:t>
      </w:r>
      <w:proofErr w:type="spellStart"/>
      <w:r w:rsidRPr="00487373">
        <w:t>bisfenol</w:t>
      </w:r>
      <w:proofErr w:type="spellEnd"/>
      <w:r w:rsidRPr="00487373">
        <w:t>-F-epichlorhydrin a 1,6-hexandioldiglycidylether. Vytvrzování probíhá pomocí směsi polyaminů (Obr. 2)</w:t>
      </w:r>
    </w:p>
    <w:p w:rsidR="00F86468" w:rsidRPr="00487373" w:rsidRDefault="00F86468" w:rsidP="000F437C">
      <w:pPr>
        <w:spacing w:after="0" w:line="240" w:lineRule="auto"/>
      </w:pPr>
      <w:r w:rsidRPr="00487373">
        <w:t xml:space="preserve"> </w:t>
      </w:r>
    </w:p>
    <w:p w:rsidR="000F437C" w:rsidRPr="00487373" w:rsidRDefault="00F86468" w:rsidP="00F86468">
      <w:pPr>
        <w:spacing w:after="0" w:line="240" w:lineRule="auto"/>
        <w:jc w:val="center"/>
      </w:pPr>
      <w:r w:rsidRPr="00487373">
        <w:rPr>
          <w:noProof/>
          <w:lang w:eastAsia="cs-CZ"/>
        </w:rPr>
        <w:drawing>
          <wp:inline distT="0" distB="0" distL="0" distR="0" wp14:anchorId="249D0020" wp14:editId="361A9475">
            <wp:extent cx="5224007" cy="2472856"/>
            <wp:effectExtent l="0" t="0" r="0" b="381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8"/>
                    <a:stretch/>
                  </pic:blipFill>
                  <pic:spPr bwMode="auto">
                    <a:xfrm>
                      <a:off x="0" y="0"/>
                      <a:ext cx="5223600" cy="247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468" w:rsidRPr="00487373" w:rsidRDefault="00F86468" w:rsidP="000F437C">
      <w:pPr>
        <w:spacing w:after="0" w:line="240" w:lineRule="auto"/>
      </w:pPr>
    </w:p>
    <w:p w:rsidR="00F86468" w:rsidRPr="00487373" w:rsidRDefault="00F86468" w:rsidP="00F86468">
      <w:pPr>
        <w:spacing w:after="0" w:line="240" w:lineRule="auto"/>
        <w:jc w:val="center"/>
      </w:pPr>
      <w:r w:rsidRPr="00487373">
        <w:rPr>
          <w:b/>
          <w:bCs/>
        </w:rPr>
        <w:t xml:space="preserve">Obr. 1 </w:t>
      </w:r>
      <w:r w:rsidRPr="00487373">
        <w:t xml:space="preserve">Reakce </w:t>
      </w:r>
      <w:proofErr w:type="spellStart"/>
      <w:r w:rsidRPr="00487373">
        <w:t>bisfenolu</w:t>
      </w:r>
      <w:proofErr w:type="spellEnd"/>
      <w:r w:rsidRPr="00487373">
        <w:t>-A s</w:t>
      </w:r>
      <w:r w:rsidR="00F45151" w:rsidRPr="00487373">
        <w:t> </w:t>
      </w:r>
      <w:r w:rsidRPr="00487373">
        <w:t>epichlorhydrinem</w:t>
      </w:r>
      <w:r w:rsidR="00F45151" w:rsidRPr="00487373">
        <w:t xml:space="preserve"> [2]</w:t>
      </w:r>
    </w:p>
    <w:p w:rsidR="00F86468" w:rsidRPr="00487373" w:rsidRDefault="00F86468" w:rsidP="000F437C">
      <w:pPr>
        <w:spacing w:after="0" w:line="240" w:lineRule="auto"/>
      </w:pPr>
    </w:p>
    <w:p w:rsidR="00F86468" w:rsidRPr="00487373" w:rsidRDefault="00F86468" w:rsidP="00F86468">
      <w:pPr>
        <w:spacing w:after="0" w:line="240" w:lineRule="auto"/>
        <w:jc w:val="center"/>
      </w:pPr>
      <w:r w:rsidRPr="00487373">
        <w:rPr>
          <w:noProof/>
          <w:lang w:eastAsia="cs-CZ"/>
        </w:rPr>
        <w:drawing>
          <wp:inline distT="0" distB="0" distL="0" distR="0" wp14:anchorId="7C004085" wp14:editId="30B82AC6">
            <wp:extent cx="4063116" cy="1757238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"/>
                    <a:stretch/>
                  </pic:blipFill>
                  <pic:spPr bwMode="auto">
                    <a:xfrm>
                      <a:off x="0" y="0"/>
                      <a:ext cx="4063116" cy="17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468" w:rsidRPr="00487373" w:rsidRDefault="00F86468" w:rsidP="00F86468">
      <w:pPr>
        <w:spacing w:after="0" w:line="240" w:lineRule="auto"/>
        <w:jc w:val="center"/>
      </w:pPr>
      <w:r w:rsidRPr="00487373">
        <w:rPr>
          <w:b/>
          <w:bCs/>
        </w:rPr>
        <w:t xml:space="preserve">Obr. 2 </w:t>
      </w:r>
      <w:r w:rsidRPr="00487373">
        <w:t>Vytvrzování epoxidových pryskyřic reakcí primárního (I) a sekundárního (II) aminu s epoxidovou skupinou</w:t>
      </w:r>
      <w:r w:rsidR="00F45151" w:rsidRPr="00487373">
        <w:t xml:space="preserve"> [2]</w:t>
      </w:r>
    </w:p>
    <w:p w:rsidR="00F86468" w:rsidRPr="00487373" w:rsidRDefault="00F86468" w:rsidP="00F86468">
      <w:pPr>
        <w:spacing w:after="0" w:line="240" w:lineRule="auto"/>
        <w:jc w:val="center"/>
      </w:pPr>
    </w:p>
    <w:p w:rsidR="000E39D9" w:rsidRPr="00487373" w:rsidRDefault="000E39D9" w:rsidP="00F86468">
      <w:pPr>
        <w:spacing w:after="0" w:line="240" w:lineRule="auto"/>
        <w:rPr>
          <w:i/>
        </w:rPr>
      </w:pPr>
      <w:r w:rsidRPr="00487373">
        <w:rPr>
          <w:i/>
        </w:rPr>
        <w:t>Polyesterová lepidla</w:t>
      </w:r>
    </w:p>
    <w:p w:rsidR="000E39D9" w:rsidRPr="00487373" w:rsidRDefault="000E39D9" w:rsidP="00F86468">
      <w:pPr>
        <w:spacing w:after="0" w:line="240" w:lineRule="auto"/>
      </w:pPr>
    </w:p>
    <w:p w:rsidR="00BD6737" w:rsidRPr="00487373" w:rsidRDefault="000E39D9" w:rsidP="00E2353C">
      <w:pPr>
        <w:spacing w:after="0" w:line="240" w:lineRule="auto"/>
        <w:jc w:val="both"/>
      </w:pPr>
      <w:r w:rsidRPr="00487373">
        <w:t xml:space="preserve">Polyesterová lepidla patří, stejně jako epoxidová, do skupiny reakčních lepidel. Připravují se polykondenzační reakcí anhydridů, nejčastěji maleinanhydridu, s vícemocnými alkoholy. Monomerní složkou potřebnou k zesítění, která navíc funguje jako ředidlo pryskyřice, bývá obvykle styren nebo </w:t>
      </w:r>
      <w:proofErr w:type="spellStart"/>
      <w:r w:rsidRPr="00487373">
        <w:t>methylmethakrylát</w:t>
      </w:r>
      <w:proofErr w:type="spellEnd"/>
      <w:r w:rsidRPr="00487373">
        <w:t xml:space="preserve">. Jako tvrdidlo se poté používá například </w:t>
      </w:r>
      <w:proofErr w:type="spellStart"/>
      <w:r w:rsidRPr="00487373">
        <w:t>methylethylketonperoxid</w:t>
      </w:r>
      <w:proofErr w:type="spellEnd"/>
      <w:r w:rsidRPr="00487373">
        <w:t xml:space="preserve"> nebo </w:t>
      </w:r>
      <w:proofErr w:type="spellStart"/>
      <w:r w:rsidRPr="00487373">
        <w:t>dibenzoylperoxid</w:t>
      </w:r>
      <w:proofErr w:type="spellEnd"/>
      <w:r w:rsidRPr="00487373">
        <w:t xml:space="preserve"> </w:t>
      </w:r>
      <w:r w:rsidR="00F45151" w:rsidRPr="00487373">
        <w:t>[1]</w:t>
      </w:r>
      <w:r w:rsidRPr="00487373">
        <w:t xml:space="preserve">. Lepidlo </w:t>
      </w:r>
      <w:proofErr w:type="spellStart"/>
      <w:r w:rsidRPr="00487373">
        <w:t>Marmorkitt</w:t>
      </w:r>
      <w:proofErr w:type="spellEnd"/>
      <w:r w:rsidRPr="00487373">
        <w:t xml:space="preserve"> 1000 je dvousložkové polyesterové lepidlo, které se rovněž běžně užívá v restaurátorské praxi. Monomerní složka je tvořena styrenem, použitým tvrdidlem je </w:t>
      </w:r>
      <w:proofErr w:type="spellStart"/>
      <w:r w:rsidRPr="00487373">
        <w:t>dibenzoylperoxid</w:t>
      </w:r>
      <w:proofErr w:type="spellEnd"/>
      <w:r w:rsidRPr="00487373">
        <w:t xml:space="preserve">. </w:t>
      </w:r>
    </w:p>
    <w:p w:rsidR="00F57253" w:rsidRPr="00487373" w:rsidRDefault="00F57253" w:rsidP="00F86468">
      <w:pPr>
        <w:spacing w:after="0" w:line="240" w:lineRule="auto"/>
      </w:pPr>
    </w:p>
    <w:p w:rsidR="00E2353C" w:rsidRPr="00487373" w:rsidRDefault="00000CCE" w:rsidP="00654308">
      <w:pPr>
        <w:spacing w:after="0" w:line="240" w:lineRule="auto"/>
        <w:ind w:left="1416" w:firstLine="708"/>
      </w:pPr>
      <w:r w:rsidRPr="00487373">
        <w:rPr>
          <w:noProof/>
          <w:lang w:eastAsia="cs-CZ"/>
        </w:rPr>
        <w:drawing>
          <wp:inline distT="0" distB="0" distL="0" distR="0" wp14:anchorId="2A375487" wp14:editId="27B27CC9">
            <wp:extent cx="673671" cy="720000"/>
            <wp:effectExtent l="0" t="0" r="0" b="4445"/>
            <wp:docPr id="4" name="Obrázek 4" descr="Výsledek obrázku pro sty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tyr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308" w:rsidRPr="00487373">
        <w:tab/>
      </w:r>
      <w:r w:rsidRPr="00487373">
        <w:tab/>
      </w:r>
      <w:r w:rsidRPr="00487373">
        <w:tab/>
      </w:r>
      <w:r w:rsidRPr="00487373">
        <w:rPr>
          <w:noProof/>
          <w:lang w:eastAsia="cs-CZ"/>
        </w:rPr>
        <w:drawing>
          <wp:inline distT="0" distB="0" distL="0" distR="0" wp14:anchorId="6C4A91D4" wp14:editId="03C97452">
            <wp:extent cx="1800000" cy="900000"/>
            <wp:effectExtent l="0" t="0" r="0" b="0"/>
            <wp:docPr id="5" name="Obrázek 5" descr="Strukturní vzorec benzoylperoxi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ukturní vzorec benzoylperoxi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CE" w:rsidRPr="00487373" w:rsidRDefault="00000CCE" w:rsidP="00000CCE">
      <w:pPr>
        <w:spacing w:after="0" w:line="240" w:lineRule="auto"/>
        <w:jc w:val="center"/>
      </w:pPr>
      <w:r w:rsidRPr="00487373">
        <w:rPr>
          <w:b/>
        </w:rPr>
        <w:t>Obr. 3</w:t>
      </w:r>
      <w:r w:rsidRPr="00487373">
        <w:t xml:space="preserve"> Chemický vzorec styrenu [3]</w:t>
      </w:r>
      <w:r w:rsidRPr="00487373">
        <w:tab/>
        <w:t xml:space="preserve"> </w:t>
      </w:r>
      <w:r w:rsidRPr="00487373">
        <w:rPr>
          <w:b/>
        </w:rPr>
        <w:t>Obr. 4</w:t>
      </w:r>
      <w:r w:rsidRPr="00487373">
        <w:t xml:space="preserve"> Chemický vzorec </w:t>
      </w:r>
      <w:proofErr w:type="spellStart"/>
      <w:r w:rsidRPr="00487373">
        <w:t>dibenzoylperoxidu</w:t>
      </w:r>
      <w:proofErr w:type="spellEnd"/>
      <w:r w:rsidRPr="00487373">
        <w:t xml:space="preserve"> [4]</w:t>
      </w:r>
    </w:p>
    <w:p w:rsidR="00E2353C" w:rsidRPr="00487373" w:rsidRDefault="00E2353C" w:rsidP="00F86468">
      <w:pPr>
        <w:spacing w:after="0" w:line="240" w:lineRule="auto"/>
      </w:pPr>
    </w:p>
    <w:p w:rsidR="00BD6737" w:rsidRPr="00487373" w:rsidRDefault="00BD6737" w:rsidP="00F86468">
      <w:pPr>
        <w:spacing w:after="0" w:line="240" w:lineRule="auto"/>
        <w:rPr>
          <w:i/>
        </w:rPr>
      </w:pPr>
      <w:r w:rsidRPr="00487373">
        <w:rPr>
          <w:i/>
        </w:rPr>
        <w:t>Polyvinylacetátová lepidla</w:t>
      </w:r>
    </w:p>
    <w:p w:rsidR="00BD6737" w:rsidRPr="00487373" w:rsidRDefault="00BD6737" w:rsidP="00F86468">
      <w:pPr>
        <w:spacing w:after="0" w:line="240" w:lineRule="auto"/>
      </w:pPr>
    </w:p>
    <w:p w:rsidR="00F86468" w:rsidRPr="00487373" w:rsidRDefault="000E39D9" w:rsidP="00F57253">
      <w:pPr>
        <w:spacing w:after="0" w:line="240" w:lineRule="auto"/>
        <w:jc w:val="both"/>
      </w:pPr>
      <w:r w:rsidRPr="00487373">
        <w:t xml:space="preserve">Polyvinylacetátová lepidla patří mezi lepidla tuhnoucí vsáknutím nebo vytěkáním rozpouštědla. Lepení pomocí polyvinylacetátových lepidel vyžaduje optimalizaci podmínek pro tuhnutí lepidla v lepeném spoji, alespoň jeden z lepených povrchů například musí být pórovitý, tuhnutí může také probíhat za zvýšené teploty. Lepené spoje tvořené polyvinylacetátovými lepidly jsou odolné proti krátkodobému působení vody za normální teploty </w:t>
      </w:r>
      <w:r w:rsidR="00E2353C" w:rsidRPr="00487373">
        <w:t>[1].</w:t>
      </w:r>
    </w:p>
    <w:p w:rsidR="00F45151" w:rsidRPr="00487373" w:rsidRDefault="00F45151" w:rsidP="00F57253">
      <w:pPr>
        <w:spacing w:after="0" w:line="240" w:lineRule="auto"/>
        <w:jc w:val="both"/>
      </w:pPr>
    </w:p>
    <w:p w:rsidR="00F45151" w:rsidRPr="00487373" w:rsidRDefault="00F45151" w:rsidP="00F45151">
      <w:pPr>
        <w:spacing w:after="0" w:line="240" w:lineRule="auto"/>
        <w:jc w:val="center"/>
      </w:pPr>
      <w:r w:rsidRPr="00487373">
        <w:rPr>
          <w:noProof/>
          <w:lang w:eastAsia="cs-CZ"/>
        </w:rPr>
        <w:drawing>
          <wp:inline distT="0" distB="0" distL="0" distR="0" wp14:anchorId="06505207" wp14:editId="52679CC0">
            <wp:extent cx="811942" cy="900000"/>
            <wp:effectExtent l="0" t="0" r="7620" b="0"/>
            <wp:docPr id="3" name="Obrázek 3" descr="https://upload.wikimedia.org/wikipedia/commons/thumb/5/57/PVA.svg/485px-PV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7/PVA.svg/485px-PVA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4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51" w:rsidRPr="00487373" w:rsidRDefault="00F45151" w:rsidP="00F45151">
      <w:pPr>
        <w:spacing w:after="0" w:line="240" w:lineRule="auto"/>
        <w:jc w:val="center"/>
      </w:pPr>
      <w:r w:rsidRPr="00487373">
        <w:rPr>
          <w:b/>
        </w:rPr>
        <w:t xml:space="preserve">Obr. </w:t>
      </w:r>
      <w:r w:rsidR="00000CCE" w:rsidRPr="00487373">
        <w:rPr>
          <w:b/>
        </w:rPr>
        <w:t>5</w:t>
      </w:r>
      <w:r w:rsidR="00000CCE" w:rsidRPr="00487373">
        <w:t xml:space="preserve"> </w:t>
      </w:r>
      <w:r w:rsidRPr="00487373">
        <w:t>Chemický vzorec polyvinylacetátu</w:t>
      </w:r>
      <w:r w:rsidR="00E2353C" w:rsidRPr="00487373">
        <w:t xml:space="preserve"> [</w:t>
      </w:r>
      <w:r w:rsidR="00DD445D" w:rsidRPr="00487373">
        <w:t>5</w:t>
      </w:r>
      <w:r w:rsidR="00E2353C" w:rsidRPr="00487373">
        <w:t>]</w:t>
      </w:r>
    </w:p>
    <w:p w:rsidR="000E39D9" w:rsidRPr="00487373" w:rsidRDefault="000E39D9" w:rsidP="00F86468">
      <w:pPr>
        <w:spacing w:after="0" w:line="240" w:lineRule="auto"/>
      </w:pPr>
    </w:p>
    <w:p w:rsidR="000E39D9" w:rsidRPr="00487373" w:rsidRDefault="00BD6737" w:rsidP="00F86468">
      <w:pPr>
        <w:spacing w:after="0" w:line="240" w:lineRule="auto"/>
        <w:rPr>
          <w:i/>
        </w:rPr>
      </w:pPr>
      <w:r w:rsidRPr="00487373">
        <w:rPr>
          <w:i/>
        </w:rPr>
        <w:t>Tavná lepidla</w:t>
      </w:r>
    </w:p>
    <w:p w:rsidR="00BD6737" w:rsidRPr="00487373" w:rsidRDefault="00BD6737" w:rsidP="00F86468">
      <w:pPr>
        <w:spacing w:after="0" w:line="240" w:lineRule="auto"/>
      </w:pPr>
    </w:p>
    <w:p w:rsidR="00F57253" w:rsidRPr="00487373" w:rsidRDefault="00F57253" w:rsidP="00F57253">
      <w:pPr>
        <w:spacing w:after="0" w:line="240" w:lineRule="auto"/>
        <w:jc w:val="both"/>
        <w:rPr>
          <w:rFonts w:cstheme="minorHAnsi"/>
        </w:rPr>
      </w:pPr>
      <w:r w:rsidRPr="00487373">
        <w:rPr>
          <w:rFonts w:cstheme="minorHAnsi"/>
        </w:rPr>
        <w:t xml:space="preserve">Tavná lepidla je před použitím nutno nejprve roztavit, k čemuž lze využít například tavné pistole. </w:t>
      </w:r>
      <w:r w:rsidR="00F45151" w:rsidRPr="00487373">
        <w:rPr>
          <w:rFonts w:cstheme="minorHAnsi"/>
        </w:rPr>
        <w:t>Maximální pevnosti spoje je dosaženo v momentě, kdy dochází ke ztuhnutí lepidla ochlazením na okolní teplotu.</w:t>
      </w:r>
      <w:r w:rsidRPr="00487373">
        <w:rPr>
          <w:rFonts w:cstheme="minorHAnsi"/>
        </w:rPr>
        <w:t xml:space="preserve"> Jelikož jsou tavná lepidla viskózní, téměř se nevsakují a vytvářejí pružný film. Protože vzniklý film není příliš tenký, mohou fungovat i jako výplň. Dodávají se v různých formách, například jako prášek nebo granulát, jako náplň do tavné pistole se dodávají v</w:t>
      </w:r>
      <w:r w:rsidR="00F45151" w:rsidRPr="00487373">
        <w:rPr>
          <w:rFonts w:cstheme="minorHAnsi"/>
        </w:rPr>
        <w:t> </w:t>
      </w:r>
      <w:r w:rsidRPr="00487373">
        <w:rPr>
          <w:rFonts w:cstheme="minorHAnsi"/>
        </w:rPr>
        <w:t>tyčinkách</w:t>
      </w:r>
      <w:r w:rsidR="00F45151" w:rsidRPr="00487373">
        <w:rPr>
          <w:rFonts w:cstheme="minorHAnsi"/>
        </w:rPr>
        <w:t xml:space="preserve"> [</w:t>
      </w:r>
      <w:r w:rsidR="00E2353C" w:rsidRPr="00487373">
        <w:rPr>
          <w:rFonts w:cstheme="minorHAnsi"/>
        </w:rPr>
        <w:t>1</w:t>
      </w:r>
      <w:r w:rsidR="00F45151" w:rsidRPr="00487373">
        <w:rPr>
          <w:rFonts w:cstheme="minorHAnsi"/>
        </w:rPr>
        <w:t>].</w:t>
      </w:r>
      <w:r w:rsidR="00DD445D" w:rsidRPr="00487373">
        <w:rPr>
          <w:rFonts w:cstheme="minorHAnsi"/>
        </w:rPr>
        <w:t xml:space="preserve"> Tavné tyčinky jsou tvořeny směsí syntetických pryskyřic, parafínu a kopolymeru ethylen-vinyalcetátu (Pattex HOT) [6].</w:t>
      </w:r>
    </w:p>
    <w:p w:rsidR="00BD6737" w:rsidRPr="00487373" w:rsidRDefault="00BD6737" w:rsidP="00F86468">
      <w:pPr>
        <w:spacing w:after="0" w:line="240" w:lineRule="auto"/>
      </w:pPr>
    </w:p>
    <w:p w:rsidR="008D50D1" w:rsidRPr="00487373" w:rsidRDefault="008D50D1" w:rsidP="00F86468">
      <w:pPr>
        <w:spacing w:after="0" w:line="240" w:lineRule="auto"/>
      </w:pPr>
    </w:p>
    <w:p w:rsidR="00F45151" w:rsidRPr="00487373" w:rsidRDefault="008D50D1" w:rsidP="008D50D1">
      <w:pPr>
        <w:spacing w:after="0" w:line="240" w:lineRule="auto"/>
        <w:jc w:val="center"/>
        <w:rPr>
          <w:sz w:val="32"/>
        </w:rPr>
      </w:pPr>
      <w:r w:rsidRPr="00487373">
        <w:rPr>
          <w:sz w:val="28"/>
        </w:rPr>
        <w:t>Zkoušky vlastností lepidel</w:t>
      </w:r>
    </w:p>
    <w:p w:rsidR="008D50D1" w:rsidRPr="00487373" w:rsidRDefault="008D50D1" w:rsidP="008D50D1">
      <w:pPr>
        <w:spacing w:after="0" w:line="240" w:lineRule="auto"/>
        <w:jc w:val="center"/>
      </w:pPr>
    </w:p>
    <w:p w:rsidR="008D50D1" w:rsidRPr="00487373" w:rsidRDefault="008D50D1" w:rsidP="008D50D1">
      <w:pPr>
        <w:spacing w:after="0" w:line="240" w:lineRule="auto"/>
        <w:rPr>
          <w:i/>
        </w:rPr>
      </w:pPr>
      <w:r w:rsidRPr="00487373">
        <w:rPr>
          <w:i/>
        </w:rPr>
        <w:t>Reverzibilita</w:t>
      </w:r>
    </w:p>
    <w:p w:rsidR="008D50D1" w:rsidRPr="00487373" w:rsidRDefault="008D50D1" w:rsidP="008D50D1">
      <w:pPr>
        <w:spacing w:after="0" w:line="240" w:lineRule="auto"/>
      </w:pPr>
    </w:p>
    <w:p w:rsidR="008D50D1" w:rsidRPr="00487373" w:rsidRDefault="00222E87" w:rsidP="00C91451">
      <w:pPr>
        <w:spacing w:after="0" w:line="240" w:lineRule="auto"/>
        <w:jc w:val="both"/>
      </w:pPr>
      <w:r w:rsidRPr="00487373">
        <w:t>Reverzibilita je míra schopnosti odstranit lepidlo z lepeného spoje. Pro konzervátora je samozřejmě výhodné</w:t>
      </w:r>
      <w:r w:rsidR="0075118B" w:rsidRPr="00487373">
        <w:t xml:space="preserve"> a žádoucí</w:t>
      </w:r>
      <w:r w:rsidRPr="00487373">
        <w:t>, je-li možné lepidlo odstranit co nejefektivněji, čili tak, aby na lepeném spoji nezbylo žádné nebo minimální množství lepidla.</w:t>
      </w:r>
    </w:p>
    <w:p w:rsidR="00222E87" w:rsidRPr="00487373" w:rsidRDefault="00222E87" w:rsidP="00C91451">
      <w:pPr>
        <w:spacing w:after="0" w:line="240" w:lineRule="auto"/>
        <w:jc w:val="both"/>
      </w:pPr>
    </w:p>
    <w:p w:rsidR="00222E87" w:rsidRPr="00487373" w:rsidRDefault="00222E87" w:rsidP="00C91451">
      <w:pPr>
        <w:spacing w:after="0" w:line="240" w:lineRule="auto"/>
        <w:rPr>
          <w:i/>
        </w:rPr>
      </w:pPr>
      <w:r w:rsidRPr="00487373">
        <w:rPr>
          <w:i/>
        </w:rPr>
        <w:t>Mechanická odolnost lepidla</w:t>
      </w:r>
    </w:p>
    <w:p w:rsidR="00222E87" w:rsidRPr="00487373" w:rsidRDefault="00222E87" w:rsidP="00C91451">
      <w:pPr>
        <w:spacing w:after="0" w:line="240" w:lineRule="auto"/>
      </w:pPr>
    </w:p>
    <w:p w:rsidR="00C91451" w:rsidRPr="00487373" w:rsidRDefault="00222E87" w:rsidP="00C91451">
      <w:pPr>
        <w:spacing w:line="240" w:lineRule="auto"/>
        <w:jc w:val="both"/>
      </w:pPr>
      <w:r w:rsidRPr="00487373">
        <w:t xml:space="preserve">Mechanická odolnost </w:t>
      </w:r>
      <w:r w:rsidR="00654308" w:rsidRPr="00487373">
        <w:t>lepidla je důležitá při manipulaci a transportu předmětů nebo jsou-li předměty vystaveny jinému mechanickému namáhání. Je žádoucí, aby lepený spoj měl mechanickou odolnost přibližně rovnou mechanické odolnosti samotného materiálu</w:t>
      </w:r>
      <w:r w:rsidR="00762A87" w:rsidRPr="00487373">
        <w:t xml:space="preserve"> (Obr. 6)</w:t>
      </w:r>
      <w:r w:rsidR="00654308" w:rsidRPr="00487373">
        <w:t>, ze kte</w:t>
      </w:r>
      <w:r w:rsidR="00C91451" w:rsidRPr="00487373">
        <w:t>rého je předmět vyroben. Při nižší pevnosti může docházet k rozpadu lepených spojů, v opačném případě může docházet k poškození materiálu podél lepených spojů</w:t>
      </w:r>
      <w:r w:rsidR="003F33FD" w:rsidRPr="00487373">
        <w:t xml:space="preserve"> (Obr. 7)</w:t>
      </w:r>
      <w:r w:rsidR="00C91451" w:rsidRPr="00487373">
        <w:t xml:space="preserve">. </w:t>
      </w:r>
    </w:p>
    <w:p w:rsidR="00762A87" w:rsidRPr="00487373" w:rsidRDefault="00762A87" w:rsidP="00762A87">
      <w:pPr>
        <w:spacing w:after="0" w:line="240" w:lineRule="auto"/>
        <w:jc w:val="center"/>
      </w:pPr>
      <w:r w:rsidRPr="00487373">
        <w:rPr>
          <w:noProof/>
          <w:lang w:eastAsia="cs-CZ"/>
        </w:rPr>
        <w:lastRenderedPageBreak/>
        <w:drawing>
          <wp:inline distT="0" distB="0" distL="0" distR="0" wp14:anchorId="04C4DF9C" wp14:editId="0FC322FD">
            <wp:extent cx="2059200" cy="2160000"/>
            <wp:effectExtent l="0" t="0" r="0" b="0"/>
            <wp:docPr id="31" name="Obrázek 30" descr="P403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0" descr="P4030346.JPG"/>
                    <pic:cNvPicPr/>
                  </pic:nvPicPr>
                  <pic:blipFill rotWithShape="1">
                    <a:blip r:embed="rId13" cstate="print"/>
                    <a:srcRect b="19108"/>
                    <a:stretch/>
                  </pic:blipFill>
                  <pic:spPr bwMode="auto">
                    <a:xfrm>
                      <a:off x="0" y="0"/>
                      <a:ext cx="20592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7373">
        <w:t xml:space="preserve">            </w:t>
      </w:r>
      <w:r w:rsidRPr="00487373">
        <w:rPr>
          <w:noProof/>
          <w:lang w:eastAsia="cs-CZ"/>
        </w:rPr>
        <w:drawing>
          <wp:inline distT="0" distB="0" distL="0" distR="0" wp14:anchorId="747DDF60" wp14:editId="1BEF6B06">
            <wp:extent cx="2196000" cy="2160000"/>
            <wp:effectExtent l="0" t="0" r="0" b="0"/>
            <wp:docPr id="30" name="Obrázek 29" descr="P403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29" descr="P4030352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14379" b="-1"/>
                    <a:stretch/>
                  </pic:blipFill>
                  <pic:spPr bwMode="auto">
                    <a:xfrm>
                      <a:off x="0" y="0"/>
                      <a:ext cx="2196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94B" w:rsidRPr="00487373" w:rsidRDefault="00762A87" w:rsidP="00762A87">
      <w:pPr>
        <w:spacing w:after="0" w:line="240" w:lineRule="auto"/>
        <w:ind w:left="4248" w:hanging="3993"/>
      </w:pPr>
      <w:r w:rsidRPr="00487373">
        <w:rPr>
          <w:b/>
        </w:rPr>
        <w:t xml:space="preserve"> </w:t>
      </w:r>
      <w:r w:rsidR="00B56B0F" w:rsidRPr="00487373">
        <w:rPr>
          <w:b/>
        </w:rPr>
        <w:t xml:space="preserve">       </w:t>
      </w:r>
      <w:r w:rsidRPr="00487373">
        <w:rPr>
          <w:b/>
        </w:rPr>
        <w:t>Obr. 6</w:t>
      </w:r>
      <w:r w:rsidRPr="00487373">
        <w:t xml:space="preserve"> Lepený spoj se shodnou odolností</w:t>
      </w:r>
      <w:r w:rsidR="00B56B0F" w:rsidRPr="00487373">
        <w:t xml:space="preserve">         </w:t>
      </w:r>
      <w:r w:rsidRPr="00487373">
        <w:t xml:space="preserve">  </w:t>
      </w:r>
      <w:r w:rsidRPr="00487373">
        <w:rPr>
          <w:b/>
        </w:rPr>
        <w:t>Obr. 7</w:t>
      </w:r>
      <w:r w:rsidRPr="00487373">
        <w:t xml:space="preserve"> Lepený spoj s vyšší odolností</w:t>
      </w:r>
    </w:p>
    <w:p w:rsidR="004C694B" w:rsidRPr="00487373" w:rsidRDefault="004C694B" w:rsidP="00762A87">
      <w:pPr>
        <w:spacing w:after="0" w:line="240" w:lineRule="auto"/>
        <w:ind w:left="4248" w:hanging="3993"/>
        <w:rPr>
          <w:sz w:val="20"/>
        </w:rPr>
      </w:pPr>
    </w:p>
    <w:p w:rsidR="004C694B" w:rsidRPr="00487373" w:rsidRDefault="004C694B" w:rsidP="008C2B75">
      <w:pPr>
        <w:spacing w:after="0" w:line="240" w:lineRule="auto"/>
        <w:ind w:left="4248" w:hanging="4248"/>
        <w:jc w:val="both"/>
        <w:rPr>
          <w:i/>
        </w:rPr>
      </w:pPr>
      <w:r w:rsidRPr="00487373">
        <w:rPr>
          <w:i/>
        </w:rPr>
        <w:t>Odolnost v nevyhovujících klimatických podmínkách</w:t>
      </w:r>
    </w:p>
    <w:p w:rsidR="008C2B75" w:rsidRPr="00487373" w:rsidRDefault="008C2B75" w:rsidP="008C2B75">
      <w:pPr>
        <w:spacing w:after="0" w:line="240" w:lineRule="auto"/>
        <w:ind w:left="4248" w:hanging="4248"/>
        <w:jc w:val="both"/>
      </w:pPr>
    </w:p>
    <w:p w:rsidR="008C2B75" w:rsidRPr="00487373" w:rsidRDefault="008C2B75" w:rsidP="008C2B75">
      <w:pPr>
        <w:spacing w:after="0" w:line="240" w:lineRule="auto"/>
        <w:ind w:left="4248" w:hanging="4248"/>
        <w:jc w:val="both"/>
      </w:pPr>
      <w:r w:rsidRPr="00487373">
        <w:t>Ne vždy se při uložení předmětů v depozitářích podaří udržet ideální klimatické podmínky. Předměty</w:t>
      </w:r>
    </w:p>
    <w:p w:rsidR="008C2B75" w:rsidRPr="00487373" w:rsidRDefault="008C2B75" w:rsidP="008C2B75">
      <w:pPr>
        <w:spacing w:after="0" w:line="240" w:lineRule="auto"/>
        <w:ind w:left="1" w:hanging="1"/>
        <w:jc w:val="both"/>
      </w:pPr>
      <w:r w:rsidRPr="00487373">
        <w:t xml:space="preserve">se také mohou stát obětí živelných katastrof. Je tedy důležité znát odolnost použitých prostředků </w:t>
      </w:r>
      <w:r w:rsidR="00B56B0F" w:rsidRPr="00487373">
        <w:br/>
      </w:r>
      <w:r w:rsidRPr="00487373">
        <w:t>a její limity při působení nepříznivých klimatických vlivů</w:t>
      </w:r>
      <w:r w:rsidR="0075118B" w:rsidRPr="00487373">
        <w:t xml:space="preserve"> (vysoká teplota, vysoká vlhkost apod.)</w:t>
      </w:r>
      <w:r w:rsidRPr="00487373">
        <w:t xml:space="preserve">. </w:t>
      </w:r>
    </w:p>
    <w:p w:rsidR="007B2FEE" w:rsidRPr="00487373" w:rsidRDefault="007B2FEE" w:rsidP="008C2B75">
      <w:pPr>
        <w:spacing w:after="0" w:line="240" w:lineRule="auto"/>
        <w:ind w:left="1" w:hanging="1"/>
        <w:jc w:val="both"/>
      </w:pPr>
    </w:p>
    <w:p w:rsidR="007B2FEE" w:rsidRPr="00487373" w:rsidRDefault="007B2FEE" w:rsidP="008C2B75">
      <w:pPr>
        <w:spacing w:after="0" w:line="240" w:lineRule="auto"/>
        <w:ind w:left="1" w:hanging="1"/>
        <w:jc w:val="both"/>
      </w:pPr>
      <w:r w:rsidRPr="00487373">
        <w:t xml:space="preserve">Vlastnosti používaných lepidel jsou shrnuty v tabulce (Tab. 1). Uvedené výsledky vycházejí ze závěrečných prací [7, 8] zabývajících se lepením keramiky a kamene. </w:t>
      </w:r>
    </w:p>
    <w:p w:rsidR="007B2FEE" w:rsidRPr="00487373" w:rsidRDefault="007B2FEE" w:rsidP="008C2B75">
      <w:pPr>
        <w:spacing w:after="0" w:line="240" w:lineRule="auto"/>
        <w:ind w:left="1" w:hanging="1"/>
        <w:jc w:val="both"/>
      </w:pPr>
    </w:p>
    <w:tbl>
      <w:tblPr>
        <w:tblStyle w:val="Mkatabulky"/>
        <w:tblpPr w:leftFromText="141" w:rightFromText="141" w:vertAnchor="text" w:horzAnchor="margin" w:tblpX="108" w:tblpY="27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126"/>
        <w:gridCol w:w="2268"/>
        <w:gridCol w:w="2092"/>
      </w:tblGrid>
      <w:tr w:rsidR="00487373" w:rsidRPr="00487373" w:rsidTr="00B56B0F">
        <w:trPr>
          <w:trHeight w:val="567"/>
        </w:trPr>
        <w:tc>
          <w:tcPr>
            <w:tcW w:w="2478" w:type="dxa"/>
            <w:vAlign w:val="center"/>
          </w:tcPr>
          <w:p w:rsidR="007B2FEE" w:rsidRPr="00487373" w:rsidRDefault="00B56B0F" w:rsidP="00B56B0F">
            <w:pPr>
              <w:rPr>
                <w:b/>
              </w:rPr>
            </w:pPr>
            <w:r w:rsidRPr="00487373">
              <w:rPr>
                <w:b/>
              </w:rPr>
              <w:t>Lepidlo</w:t>
            </w:r>
          </w:p>
        </w:tc>
        <w:tc>
          <w:tcPr>
            <w:tcW w:w="2126" w:type="dxa"/>
            <w:vAlign w:val="center"/>
          </w:tcPr>
          <w:p w:rsidR="007B2FEE" w:rsidRPr="00487373" w:rsidRDefault="007B2FEE" w:rsidP="00B56B0F">
            <w:pPr>
              <w:rPr>
                <w:b/>
              </w:rPr>
            </w:pPr>
            <w:r w:rsidRPr="00487373">
              <w:rPr>
                <w:b/>
              </w:rPr>
              <w:t>Reverzibilita</w:t>
            </w:r>
          </w:p>
        </w:tc>
        <w:tc>
          <w:tcPr>
            <w:tcW w:w="2268" w:type="dxa"/>
            <w:vAlign w:val="center"/>
          </w:tcPr>
          <w:p w:rsidR="007B2FEE" w:rsidRPr="00487373" w:rsidRDefault="007B2FEE" w:rsidP="00B56B0F">
            <w:pPr>
              <w:rPr>
                <w:b/>
              </w:rPr>
            </w:pPr>
            <w:r w:rsidRPr="00487373">
              <w:rPr>
                <w:b/>
              </w:rPr>
              <w:t>Mechanická odolnost</w:t>
            </w:r>
          </w:p>
        </w:tc>
        <w:tc>
          <w:tcPr>
            <w:tcW w:w="2092" w:type="dxa"/>
            <w:vAlign w:val="center"/>
          </w:tcPr>
          <w:p w:rsidR="007B2FEE" w:rsidRPr="00487373" w:rsidRDefault="007B2FEE" w:rsidP="00B56B0F">
            <w:pPr>
              <w:rPr>
                <w:b/>
              </w:rPr>
            </w:pPr>
            <w:r w:rsidRPr="00487373">
              <w:rPr>
                <w:b/>
              </w:rPr>
              <w:t>Klimatická odolnost</w:t>
            </w:r>
          </w:p>
        </w:tc>
      </w:tr>
      <w:tr w:rsidR="00487373" w:rsidRPr="00487373" w:rsidTr="00B56B0F">
        <w:trPr>
          <w:trHeight w:val="567"/>
        </w:trPr>
        <w:tc>
          <w:tcPr>
            <w:tcW w:w="2478" w:type="dxa"/>
            <w:vAlign w:val="center"/>
          </w:tcPr>
          <w:p w:rsidR="007B2FEE" w:rsidRPr="00487373" w:rsidRDefault="00B56B0F" w:rsidP="00B56B0F">
            <w:pPr>
              <w:rPr>
                <w:i/>
              </w:rPr>
            </w:pPr>
            <w:r w:rsidRPr="00487373">
              <w:rPr>
                <w:i/>
              </w:rPr>
              <w:t>Epoxidové</w:t>
            </w:r>
          </w:p>
        </w:tc>
        <w:tc>
          <w:tcPr>
            <w:tcW w:w="2126" w:type="dxa"/>
            <w:vAlign w:val="center"/>
          </w:tcPr>
          <w:p w:rsidR="007B2FEE" w:rsidRPr="00487373" w:rsidRDefault="007B2FEE" w:rsidP="00B56B0F">
            <w:r w:rsidRPr="00487373">
              <w:t>Částečně reverzibilní až nereverzibilní</w:t>
            </w:r>
          </w:p>
        </w:tc>
        <w:tc>
          <w:tcPr>
            <w:tcW w:w="2268" w:type="dxa"/>
            <w:vAlign w:val="center"/>
          </w:tcPr>
          <w:p w:rsidR="007B2FEE" w:rsidRPr="00487373" w:rsidRDefault="007B2FEE" w:rsidP="00B56B0F">
            <w:r w:rsidRPr="00487373">
              <w:t>Vyšší než původní materiál</w:t>
            </w:r>
          </w:p>
        </w:tc>
        <w:tc>
          <w:tcPr>
            <w:tcW w:w="2092" w:type="dxa"/>
            <w:vAlign w:val="center"/>
          </w:tcPr>
          <w:p w:rsidR="007B2FEE" w:rsidRPr="00487373" w:rsidRDefault="00B56B0F" w:rsidP="00B56B0F">
            <w:r w:rsidRPr="00487373">
              <w:t>Vysoká</w:t>
            </w:r>
          </w:p>
        </w:tc>
      </w:tr>
      <w:tr w:rsidR="00487373" w:rsidRPr="00487373" w:rsidTr="00B56B0F">
        <w:trPr>
          <w:trHeight w:val="567"/>
        </w:trPr>
        <w:tc>
          <w:tcPr>
            <w:tcW w:w="2478" w:type="dxa"/>
            <w:vAlign w:val="center"/>
          </w:tcPr>
          <w:p w:rsidR="007B2FEE" w:rsidRPr="00487373" w:rsidRDefault="007B2FEE" w:rsidP="00B56B0F">
            <w:pPr>
              <w:rPr>
                <w:i/>
              </w:rPr>
            </w:pPr>
            <w:r w:rsidRPr="00487373">
              <w:rPr>
                <w:i/>
              </w:rPr>
              <w:t>Polyesterové</w:t>
            </w:r>
            <w:r w:rsidR="00B56B0F" w:rsidRPr="00487373">
              <w:rPr>
                <w:i/>
              </w:rPr>
              <w:t xml:space="preserve"> </w:t>
            </w:r>
            <w:r w:rsidRPr="00487373">
              <w:rPr>
                <w:i/>
              </w:rPr>
              <w:t>*</w:t>
            </w:r>
          </w:p>
        </w:tc>
        <w:tc>
          <w:tcPr>
            <w:tcW w:w="2126" w:type="dxa"/>
            <w:vAlign w:val="center"/>
          </w:tcPr>
          <w:p w:rsidR="007B2FEE" w:rsidRPr="00487373" w:rsidRDefault="007B2FEE" w:rsidP="00B56B0F">
            <w:r w:rsidRPr="00487373">
              <w:t>Plně reverzibilní</w:t>
            </w:r>
          </w:p>
        </w:tc>
        <w:tc>
          <w:tcPr>
            <w:tcW w:w="2268" w:type="dxa"/>
            <w:vAlign w:val="center"/>
          </w:tcPr>
          <w:p w:rsidR="007B2FEE" w:rsidRPr="00487373" w:rsidRDefault="007B2FEE" w:rsidP="00B56B0F">
            <w:r w:rsidRPr="00487373">
              <w:t>Vyšší</w:t>
            </w:r>
          </w:p>
        </w:tc>
        <w:tc>
          <w:tcPr>
            <w:tcW w:w="2092" w:type="dxa"/>
            <w:vAlign w:val="center"/>
          </w:tcPr>
          <w:p w:rsidR="007B2FEE" w:rsidRPr="00487373" w:rsidRDefault="00B56B0F" w:rsidP="00B56B0F">
            <w:r w:rsidRPr="00487373">
              <w:t>Nízká</w:t>
            </w:r>
          </w:p>
        </w:tc>
      </w:tr>
      <w:tr w:rsidR="00487373" w:rsidRPr="00487373" w:rsidTr="00B56B0F">
        <w:trPr>
          <w:trHeight w:val="567"/>
        </w:trPr>
        <w:tc>
          <w:tcPr>
            <w:tcW w:w="2478" w:type="dxa"/>
            <w:vAlign w:val="center"/>
          </w:tcPr>
          <w:p w:rsidR="007B2FEE" w:rsidRPr="00487373" w:rsidRDefault="007B2FEE" w:rsidP="00B56B0F">
            <w:pPr>
              <w:rPr>
                <w:i/>
              </w:rPr>
            </w:pPr>
            <w:r w:rsidRPr="00487373">
              <w:rPr>
                <w:i/>
              </w:rPr>
              <w:t xml:space="preserve">Polyvinylacetátové </w:t>
            </w:r>
          </w:p>
        </w:tc>
        <w:tc>
          <w:tcPr>
            <w:tcW w:w="2126" w:type="dxa"/>
            <w:vAlign w:val="center"/>
          </w:tcPr>
          <w:p w:rsidR="007B2FEE" w:rsidRPr="00487373" w:rsidRDefault="007B2FEE" w:rsidP="00B56B0F">
            <w:r w:rsidRPr="00487373">
              <w:t>Plně reverzibilní</w:t>
            </w:r>
          </w:p>
        </w:tc>
        <w:tc>
          <w:tcPr>
            <w:tcW w:w="2268" w:type="dxa"/>
            <w:vAlign w:val="center"/>
          </w:tcPr>
          <w:p w:rsidR="007B2FEE" w:rsidRPr="00487373" w:rsidRDefault="007B2FEE" w:rsidP="00B56B0F">
            <w:r w:rsidRPr="00487373">
              <w:t>Shodná nebo vyšší</w:t>
            </w:r>
          </w:p>
        </w:tc>
        <w:tc>
          <w:tcPr>
            <w:tcW w:w="2092" w:type="dxa"/>
            <w:vAlign w:val="center"/>
          </w:tcPr>
          <w:p w:rsidR="007B2FEE" w:rsidRPr="00487373" w:rsidRDefault="00B56B0F" w:rsidP="00B56B0F">
            <w:r w:rsidRPr="00487373">
              <w:t>Vysoká</w:t>
            </w:r>
          </w:p>
        </w:tc>
      </w:tr>
      <w:tr w:rsidR="00487373" w:rsidRPr="00487373" w:rsidTr="00B56B0F">
        <w:trPr>
          <w:trHeight w:val="567"/>
        </w:trPr>
        <w:tc>
          <w:tcPr>
            <w:tcW w:w="2478" w:type="dxa"/>
            <w:vAlign w:val="center"/>
          </w:tcPr>
          <w:p w:rsidR="007B2FEE" w:rsidRPr="00487373" w:rsidRDefault="00B56B0F" w:rsidP="00B56B0F">
            <w:pPr>
              <w:rPr>
                <w:i/>
              </w:rPr>
            </w:pPr>
            <w:r w:rsidRPr="00487373">
              <w:rPr>
                <w:i/>
              </w:rPr>
              <w:t>Tavné</w:t>
            </w:r>
            <w:r w:rsidR="007B2FEE" w:rsidRPr="00487373">
              <w:rPr>
                <w:i/>
              </w:rPr>
              <w:t>**</w:t>
            </w:r>
          </w:p>
        </w:tc>
        <w:tc>
          <w:tcPr>
            <w:tcW w:w="2126" w:type="dxa"/>
            <w:vAlign w:val="center"/>
          </w:tcPr>
          <w:p w:rsidR="007B2FEE" w:rsidRPr="00487373" w:rsidRDefault="007B2FEE" w:rsidP="00B56B0F">
            <w:r w:rsidRPr="00487373">
              <w:t>Plně reverzibilní</w:t>
            </w:r>
          </w:p>
        </w:tc>
        <w:tc>
          <w:tcPr>
            <w:tcW w:w="2268" w:type="dxa"/>
            <w:vAlign w:val="center"/>
          </w:tcPr>
          <w:p w:rsidR="007B2FEE" w:rsidRPr="00487373" w:rsidRDefault="007B2FEE" w:rsidP="00B56B0F">
            <w:r w:rsidRPr="00487373">
              <w:t>Nižší</w:t>
            </w:r>
          </w:p>
        </w:tc>
        <w:tc>
          <w:tcPr>
            <w:tcW w:w="2092" w:type="dxa"/>
            <w:vAlign w:val="center"/>
          </w:tcPr>
          <w:p w:rsidR="007B2FEE" w:rsidRPr="00487373" w:rsidRDefault="00B56B0F" w:rsidP="00B56B0F">
            <w:r w:rsidRPr="00487373">
              <w:t>Nízká</w:t>
            </w:r>
          </w:p>
        </w:tc>
      </w:tr>
    </w:tbl>
    <w:p w:rsidR="007B2FEE" w:rsidRPr="00487373" w:rsidRDefault="007B2FEE" w:rsidP="008C2B75">
      <w:pPr>
        <w:spacing w:after="0" w:line="240" w:lineRule="auto"/>
        <w:ind w:left="1" w:hanging="1"/>
        <w:jc w:val="both"/>
        <w:rPr>
          <w:b/>
        </w:rPr>
      </w:pPr>
      <w:r w:rsidRPr="00487373">
        <w:rPr>
          <w:b/>
        </w:rPr>
        <w:t>Tab. 1</w:t>
      </w:r>
      <w:r w:rsidR="00B56B0F" w:rsidRPr="00487373">
        <w:rPr>
          <w:b/>
        </w:rPr>
        <w:t xml:space="preserve"> </w:t>
      </w:r>
      <w:r w:rsidR="00B56B0F" w:rsidRPr="00487373">
        <w:t>Vlastnosti používaných lepidel</w:t>
      </w:r>
    </w:p>
    <w:p w:rsidR="007B2FEE" w:rsidRPr="00487373" w:rsidRDefault="007B2FEE" w:rsidP="007B2FEE">
      <w:pPr>
        <w:spacing w:after="0" w:line="240" w:lineRule="auto"/>
        <w:jc w:val="both"/>
        <w:rPr>
          <w:sz w:val="20"/>
        </w:rPr>
      </w:pPr>
      <w:r w:rsidRPr="00487373">
        <w:rPr>
          <w:sz w:val="20"/>
        </w:rPr>
        <w:t>*použito pouze k lepení kamene</w:t>
      </w:r>
    </w:p>
    <w:p w:rsidR="007B2FEE" w:rsidRPr="00487373" w:rsidRDefault="007B2FEE" w:rsidP="007B2FEE">
      <w:pPr>
        <w:spacing w:after="0" w:line="240" w:lineRule="auto"/>
        <w:jc w:val="both"/>
        <w:rPr>
          <w:sz w:val="20"/>
        </w:rPr>
      </w:pPr>
      <w:r w:rsidRPr="00487373">
        <w:rPr>
          <w:sz w:val="20"/>
        </w:rPr>
        <w:t>**použito pouze k lepení keramiky</w:t>
      </w:r>
    </w:p>
    <w:p w:rsidR="00B56B0F" w:rsidRPr="00487373" w:rsidRDefault="00B56B0F" w:rsidP="008C2B75">
      <w:pPr>
        <w:spacing w:after="0" w:line="240" w:lineRule="auto"/>
        <w:ind w:left="1" w:hanging="1"/>
        <w:jc w:val="both"/>
        <w:rPr>
          <w:sz w:val="20"/>
          <w:szCs w:val="20"/>
        </w:rPr>
      </w:pPr>
    </w:p>
    <w:p w:rsidR="00823ABC" w:rsidRPr="00487373" w:rsidRDefault="00823ABC" w:rsidP="008C2B75">
      <w:pPr>
        <w:spacing w:after="0" w:line="240" w:lineRule="auto"/>
        <w:ind w:left="1" w:hanging="1"/>
        <w:jc w:val="both"/>
        <w:rPr>
          <w:sz w:val="20"/>
          <w:szCs w:val="20"/>
        </w:rPr>
      </w:pPr>
    </w:p>
    <w:p w:rsidR="00B56B0F" w:rsidRPr="00487373" w:rsidRDefault="00B56B0F" w:rsidP="008C2B75">
      <w:pPr>
        <w:spacing w:after="0" w:line="240" w:lineRule="auto"/>
        <w:ind w:left="1" w:hanging="1"/>
        <w:jc w:val="both"/>
        <w:rPr>
          <w:sz w:val="20"/>
          <w:szCs w:val="20"/>
        </w:rPr>
      </w:pPr>
      <w:r w:rsidRPr="00487373">
        <w:rPr>
          <w:sz w:val="20"/>
          <w:szCs w:val="20"/>
        </w:rPr>
        <w:t xml:space="preserve">Texty byly částečně převzaty ze závěrečných prací </w:t>
      </w:r>
      <w:r w:rsidR="00C82C80" w:rsidRPr="00487373">
        <w:rPr>
          <w:sz w:val="20"/>
          <w:szCs w:val="20"/>
        </w:rPr>
        <w:t xml:space="preserve">zabývajících se lepením keramiky a kamene </w:t>
      </w:r>
      <w:r w:rsidRPr="00487373">
        <w:rPr>
          <w:sz w:val="20"/>
          <w:szCs w:val="20"/>
        </w:rPr>
        <w:t>[7, 8], upraveny a doplněny.</w:t>
      </w:r>
      <w:r w:rsidR="00823ABC" w:rsidRPr="00487373">
        <w:rPr>
          <w:sz w:val="20"/>
          <w:szCs w:val="20"/>
        </w:rPr>
        <w:t xml:space="preserve"> </w:t>
      </w:r>
      <w:r w:rsidRPr="00487373">
        <w:rPr>
          <w:sz w:val="20"/>
          <w:szCs w:val="20"/>
        </w:rPr>
        <w:t>Autor: Eva Pospíšilová</w:t>
      </w:r>
    </w:p>
    <w:p w:rsidR="007B2FEE" w:rsidRPr="00487373" w:rsidRDefault="007B2FEE" w:rsidP="008C2B75">
      <w:pPr>
        <w:spacing w:after="0" w:line="240" w:lineRule="auto"/>
        <w:ind w:left="1" w:hanging="1"/>
        <w:jc w:val="both"/>
        <w:rPr>
          <w:sz w:val="20"/>
          <w:szCs w:val="20"/>
        </w:rPr>
      </w:pPr>
    </w:p>
    <w:p w:rsidR="00F45151" w:rsidRPr="00487373" w:rsidRDefault="00F45151" w:rsidP="008C2B75">
      <w:pPr>
        <w:spacing w:after="0" w:line="240" w:lineRule="auto"/>
        <w:ind w:left="4248" w:hanging="4248"/>
        <w:jc w:val="both"/>
        <w:rPr>
          <w:sz w:val="20"/>
          <w:szCs w:val="20"/>
        </w:rPr>
      </w:pPr>
      <w:r w:rsidRPr="00487373">
        <w:rPr>
          <w:sz w:val="20"/>
          <w:szCs w:val="20"/>
        </w:rPr>
        <w:t>Zdroje:</w:t>
      </w:r>
    </w:p>
    <w:p w:rsidR="00F45151" w:rsidRPr="00487373" w:rsidRDefault="00F45151" w:rsidP="00F86468">
      <w:pPr>
        <w:spacing w:after="0" w:line="240" w:lineRule="auto"/>
        <w:rPr>
          <w:sz w:val="20"/>
          <w:szCs w:val="20"/>
        </w:rPr>
      </w:pPr>
      <w:r w:rsidRPr="00487373">
        <w:rPr>
          <w:sz w:val="20"/>
          <w:szCs w:val="20"/>
        </w:rPr>
        <w:t xml:space="preserve">[1] OSTEN, M. </w:t>
      </w:r>
      <w:r w:rsidRPr="00487373">
        <w:rPr>
          <w:i/>
          <w:iCs/>
          <w:sz w:val="20"/>
          <w:szCs w:val="20"/>
        </w:rPr>
        <w:t>Práce s lepidly a tmely</w:t>
      </w:r>
      <w:r w:rsidRPr="00487373">
        <w:rPr>
          <w:sz w:val="20"/>
          <w:szCs w:val="20"/>
        </w:rPr>
        <w:t>. 1. vyd. Praha: Státní nakladatelství technické literatury, 1975.</w:t>
      </w:r>
    </w:p>
    <w:p w:rsidR="00F45151" w:rsidRPr="00487373" w:rsidRDefault="00F45151" w:rsidP="00F86468">
      <w:pPr>
        <w:spacing w:after="0" w:line="240" w:lineRule="auto"/>
        <w:rPr>
          <w:sz w:val="20"/>
          <w:szCs w:val="20"/>
        </w:rPr>
      </w:pPr>
      <w:r w:rsidRPr="00487373">
        <w:rPr>
          <w:sz w:val="20"/>
          <w:szCs w:val="20"/>
        </w:rPr>
        <w:t xml:space="preserve">[2] MLEZIVA J., KÁLAL, K. </w:t>
      </w:r>
      <w:r w:rsidRPr="00487373">
        <w:rPr>
          <w:i/>
          <w:iCs/>
          <w:sz w:val="20"/>
          <w:szCs w:val="20"/>
        </w:rPr>
        <w:t>Základy makromolekulární chemie</w:t>
      </w:r>
      <w:r w:rsidRPr="00487373">
        <w:rPr>
          <w:sz w:val="20"/>
          <w:szCs w:val="20"/>
        </w:rPr>
        <w:t>. Praha: Státní nakladatelství technické literatury, 1986.</w:t>
      </w:r>
    </w:p>
    <w:p w:rsidR="00DD445D" w:rsidRPr="00487373" w:rsidRDefault="00DD445D" w:rsidP="00F86468">
      <w:pPr>
        <w:spacing w:after="0" w:line="240" w:lineRule="auto"/>
        <w:rPr>
          <w:sz w:val="20"/>
          <w:szCs w:val="20"/>
        </w:rPr>
      </w:pPr>
      <w:r w:rsidRPr="00487373">
        <w:rPr>
          <w:sz w:val="20"/>
          <w:szCs w:val="20"/>
        </w:rPr>
        <w:t>[3]</w:t>
      </w:r>
      <w:r w:rsidR="00000CCE" w:rsidRPr="00487373">
        <w:rPr>
          <w:sz w:val="20"/>
          <w:szCs w:val="20"/>
        </w:rPr>
        <w:t xml:space="preserve"> </w:t>
      </w:r>
      <w:proofErr w:type="spellStart"/>
      <w:r w:rsidR="00000CCE" w:rsidRPr="00487373">
        <w:rPr>
          <w:i/>
          <w:sz w:val="20"/>
          <w:szCs w:val="20"/>
        </w:rPr>
        <w:t>Areny</w:t>
      </w:r>
      <w:proofErr w:type="spellEnd"/>
      <w:r w:rsidR="00000CCE" w:rsidRPr="00487373">
        <w:rPr>
          <w:sz w:val="20"/>
          <w:szCs w:val="20"/>
        </w:rPr>
        <w:t xml:space="preserve"> [online]. [cit. 2017-09-26]. Dostupné z: </w:t>
      </w:r>
      <w:hyperlink r:id="rId16" w:history="1">
        <w:r w:rsidR="00000CCE" w:rsidRPr="00487373">
          <w:rPr>
            <w:rStyle w:val="Hypertextovodkaz"/>
            <w:color w:val="auto"/>
            <w:sz w:val="20"/>
            <w:szCs w:val="20"/>
          </w:rPr>
          <w:t>http://hajduch.eu/Chemie/ARENY.htm</w:t>
        </w:r>
      </w:hyperlink>
    </w:p>
    <w:p w:rsidR="00000CCE" w:rsidRPr="00487373" w:rsidRDefault="00DD445D" w:rsidP="00F86468">
      <w:pPr>
        <w:spacing w:after="0" w:line="240" w:lineRule="auto"/>
        <w:rPr>
          <w:sz w:val="20"/>
          <w:szCs w:val="20"/>
        </w:rPr>
      </w:pPr>
      <w:r w:rsidRPr="00487373">
        <w:rPr>
          <w:sz w:val="20"/>
          <w:szCs w:val="20"/>
        </w:rPr>
        <w:t>[4]</w:t>
      </w:r>
      <w:r w:rsidR="00000CCE" w:rsidRPr="00487373">
        <w:rPr>
          <w:sz w:val="20"/>
          <w:szCs w:val="20"/>
        </w:rPr>
        <w:t xml:space="preserve"> </w:t>
      </w:r>
      <w:r w:rsidR="00000CCE" w:rsidRPr="00487373">
        <w:rPr>
          <w:i/>
          <w:sz w:val="20"/>
          <w:szCs w:val="20"/>
        </w:rPr>
        <w:t>Benzoylperoxid</w:t>
      </w:r>
      <w:r w:rsidR="00000CCE" w:rsidRPr="00487373">
        <w:rPr>
          <w:sz w:val="20"/>
          <w:szCs w:val="20"/>
        </w:rPr>
        <w:t xml:space="preserve"> [online]. [cit. 2017-09-26]. Dostupné z: </w:t>
      </w:r>
      <w:hyperlink r:id="rId17" w:history="1">
        <w:r w:rsidR="00000CCE" w:rsidRPr="00487373">
          <w:rPr>
            <w:rStyle w:val="Hypertextovodkaz"/>
            <w:color w:val="auto"/>
            <w:sz w:val="20"/>
            <w:szCs w:val="20"/>
          </w:rPr>
          <w:t>https://cs.wikipedia.org/wiki/Benzoylperoxid</w:t>
        </w:r>
      </w:hyperlink>
    </w:p>
    <w:p w:rsidR="00DD445D" w:rsidRPr="00487373" w:rsidRDefault="00DD445D" w:rsidP="00F86468">
      <w:pPr>
        <w:spacing w:after="0" w:line="240" w:lineRule="auto"/>
        <w:rPr>
          <w:sz w:val="20"/>
          <w:szCs w:val="20"/>
        </w:rPr>
      </w:pPr>
      <w:r w:rsidRPr="00487373">
        <w:rPr>
          <w:sz w:val="20"/>
          <w:szCs w:val="20"/>
        </w:rPr>
        <w:t xml:space="preserve">[5] </w:t>
      </w:r>
      <w:r w:rsidRPr="00487373">
        <w:rPr>
          <w:i/>
          <w:sz w:val="20"/>
          <w:szCs w:val="20"/>
        </w:rPr>
        <w:t>Polyvinylacetát</w:t>
      </w:r>
      <w:r w:rsidRPr="00487373">
        <w:rPr>
          <w:sz w:val="20"/>
          <w:szCs w:val="20"/>
        </w:rPr>
        <w:t xml:space="preserve"> [online]. [cit. 2017-09-26]. Dostupné z: </w:t>
      </w:r>
      <w:hyperlink r:id="rId18" w:history="1">
        <w:r w:rsidRPr="00487373">
          <w:rPr>
            <w:rStyle w:val="Hypertextovodkaz"/>
            <w:color w:val="auto"/>
            <w:sz w:val="20"/>
            <w:szCs w:val="20"/>
          </w:rPr>
          <w:t>https://cs.wikipedia.org/wiki/Polyvinylacetát</w:t>
        </w:r>
      </w:hyperlink>
    </w:p>
    <w:p w:rsidR="00DD445D" w:rsidRPr="00487373" w:rsidRDefault="00DD445D" w:rsidP="00F86468">
      <w:pPr>
        <w:spacing w:after="0" w:line="240" w:lineRule="auto"/>
        <w:rPr>
          <w:sz w:val="20"/>
        </w:rPr>
      </w:pPr>
      <w:r w:rsidRPr="00487373">
        <w:rPr>
          <w:sz w:val="20"/>
        </w:rPr>
        <w:t xml:space="preserve">[6] </w:t>
      </w:r>
      <w:r w:rsidRPr="00487373">
        <w:rPr>
          <w:i/>
          <w:sz w:val="20"/>
        </w:rPr>
        <w:t>Tavné pistole a tyčinky</w:t>
      </w:r>
      <w:r w:rsidRPr="00487373">
        <w:rPr>
          <w:sz w:val="20"/>
        </w:rPr>
        <w:t xml:space="preserve"> [online]. [cit. 2017-09-26]. Dostupné z: </w:t>
      </w:r>
      <w:hyperlink r:id="rId19" w:history="1">
        <w:r w:rsidRPr="00487373">
          <w:rPr>
            <w:rStyle w:val="Hypertextovodkaz"/>
            <w:color w:val="auto"/>
            <w:sz w:val="20"/>
          </w:rPr>
          <w:t>https://www.poprokan.cz/tavne-pistole-a-tycinky-4126</w:t>
        </w:r>
      </w:hyperlink>
    </w:p>
    <w:p w:rsidR="00DD445D" w:rsidRPr="00487373" w:rsidRDefault="007B2FEE" w:rsidP="00F86468">
      <w:pPr>
        <w:spacing w:after="0" w:line="240" w:lineRule="auto"/>
        <w:rPr>
          <w:sz w:val="20"/>
        </w:rPr>
      </w:pPr>
      <w:r w:rsidRPr="00487373">
        <w:rPr>
          <w:sz w:val="20"/>
        </w:rPr>
        <w:t xml:space="preserve">[7] POSPÍŠILOVÁ, E. </w:t>
      </w:r>
      <w:r w:rsidRPr="00487373">
        <w:rPr>
          <w:i/>
          <w:iCs/>
          <w:sz w:val="20"/>
        </w:rPr>
        <w:t>Průzkum a konzervace archeologické keramiky</w:t>
      </w:r>
      <w:r w:rsidRPr="00487373">
        <w:rPr>
          <w:sz w:val="20"/>
        </w:rPr>
        <w:t>. Brno, 2013.</w:t>
      </w:r>
    </w:p>
    <w:p w:rsidR="007B2FEE" w:rsidRPr="00487373" w:rsidRDefault="007B2FEE" w:rsidP="00F86468">
      <w:pPr>
        <w:spacing w:after="0" w:line="240" w:lineRule="auto"/>
        <w:rPr>
          <w:sz w:val="20"/>
        </w:rPr>
      </w:pPr>
      <w:r w:rsidRPr="00487373">
        <w:rPr>
          <w:sz w:val="20"/>
        </w:rPr>
        <w:t>[8]</w:t>
      </w:r>
      <w:r w:rsidR="00B56B0F" w:rsidRPr="00487373">
        <w:rPr>
          <w:sz w:val="20"/>
        </w:rPr>
        <w:t xml:space="preserve"> POSPÍŠILOVÁ, E. </w:t>
      </w:r>
      <w:r w:rsidR="00B56B0F" w:rsidRPr="00487373">
        <w:rPr>
          <w:i/>
          <w:sz w:val="20"/>
        </w:rPr>
        <w:t>Konzervace a restaurování pískovcového artefaktu</w:t>
      </w:r>
      <w:r w:rsidR="00B56B0F" w:rsidRPr="00487373">
        <w:rPr>
          <w:sz w:val="20"/>
        </w:rPr>
        <w:t>. Brno, 2015.</w:t>
      </w:r>
    </w:p>
    <w:sectPr w:rsidR="007B2FEE" w:rsidRPr="0048737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0D" w:rsidRDefault="00E97F0D" w:rsidP="008D50D1">
      <w:pPr>
        <w:spacing w:after="0" w:line="240" w:lineRule="auto"/>
      </w:pPr>
      <w:r>
        <w:separator/>
      </w:r>
    </w:p>
  </w:endnote>
  <w:endnote w:type="continuationSeparator" w:id="0">
    <w:p w:rsidR="00E97F0D" w:rsidRDefault="00E97F0D" w:rsidP="008D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0D" w:rsidRDefault="00E97F0D" w:rsidP="008D50D1">
      <w:pPr>
        <w:spacing w:after="0" w:line="240" w:lineRule="auto"/>
      </w:pPr>
      <w:r>
        <w:separator/>
      </w:r>
    </w:p>
  </w:footnote>
  <w:footnote w:type="continuationSeparator" w:id="0">
    <w:p w:rsidR="00E97F0D" w:rsidRDefault="00E97F0D" w:rsidP="008D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D1" w:rsidRPr="008D50D1" w:rsidRDefault="008D50D1" w:rsidP="008D50D1">
    <w:pPr>
      <w:pStyle w:val="Nadpis3"/>
      <w:spacing w:before="0" w:beforeAutospacing="0" w:after="0" w:afterAutospacing="0"/>
      <w:jc w:val="center"/>
      <w:rPr>
        <w:rFonts w:asciiTheme="minorHAnsi" w:hAnsiTheme="minorHAnsi" w:cstheme="minorHAnsi"/>
        <w:b w:val="0"/>
        <w:bCs w:val="0"/>
        <w:i/>
        <w:sz w:val="18"/>
        <w:szCs w:val="28"/>
      </w:rPr>
    </w:pPr>
    <w:r w:rsidRPr="008D50D1">
      <w:rPr>
        <w:rFonts w:asciiTheme="minorHAnsi" w:hAnsiTheme="minorHAnsi" w:cstheme="minorHAnsi"/>
        <w:b w:val="0"/>
        <w:i/>
        <w:sz w:val="18"/>
        <w:szCs w:val="28"/>
      </w:rPr>
      <w:t>Studijní text k předmětu C6920</w:t>
    </w:r>
    <w:r w:rsidRPr="008D50D1">
      <w:rPr>
        <w:rFonts w:asciiTheme="minorHAnsi" w:hAnsiTheme="minorHAnsi" w:cstheme="minorHAnsi"/>
        <w:b w:val="0"/>
        <w:bCs w:val="0"/>
        <w:i/>
        <w:sz w:val="18"/>
        <w:szCs w:val="28"/>
      </w:rPr>
      <w:t xml:space="preserve"> Chemie a metodiky konzervování předmětů vyrobených z </w:t>
    </w:r>
    <w:proofErr w:type="spellStart"/>
    <w:r w:rsidRPr="008D50D1">
      <w:rPr>
        <w:rFonts w:asciiTheme="minorHAnsi" w:hAnsiTheme="minorHAnsi" w:cstheme="minorHAnsi"/>
        <w:b w:val="0"/>
        <w:bCs w:val="0"/>
        <w:i/>
        <w:sz w:val="18"/>
        <w:szCs w:val="28"/>
      </w:rPr>
      <w:t>anorg.materiálů</w:t>
    </w:r>
    <w:proofErr w:type="spellEnd"/>
    <w:r w:rsidRPr="008D50D1">
      <w:rPr>
        <w:rFonts w:asciiTheme="minorHAnsi" w:hAnsiTheme="minorHAnsi" w:cstheme="minorHAnsi"/>
        <w:b w:val="0"/>
        <w:bCs w:val="0"/>
        <w:i/>
        <w:sz w:val="18"/>
        <w:szCs w:val="28"/>
      </w:rPr>
      <w:t xml:space="preserve"> II – cvičení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34FD"/>
    <w:multiLevelType w:val="hybridMultilevel"/>
    <w:tmpl w:val="16368BDA"/>
    <w:lvl w:ilvl="0" w:tplc="8DA68A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64E35"/>
    <w:multiLevelType w:val="hybridMultilevel"/>
    <w:tmpl w:val="700E2878"/>
    <w:lvl w:ilvl="0" w:tplc="13749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0F"/>
    <w:rsid w:val="00000CCE"/>
    <w:rsid w:val="000E39D9"/>
    <w:rsid w:val="000F437C"/>
    <w:rsid w:val="00222E87"/>
    <w:rsid w:val="00336D73"/>
    <w:rsid w:val="003F33FD"/>
    <w:rsid w:val="00487373"/>
    <w:rsid w:val="004C694B"/>
    <w:rsid w:val="00654308"/>
    <w:rsid w:val="006E650F"/>
    <w:rsid w:val="0075118B"/>
    <w:rsid w:val="00762A87"/>
    <w:rsid w:val="007B2B26"/>
    <w:rsid w:val="007B2FEE"/>
    <w:rsid w:val="00823ABC"/>
    <w:rsid w:val="008C2B75"/>
    <w:rsid w:val="008D50D1"/>
    <w:rsid w:val="00B56B0F"/>
    <w:rsid w:val="00BD6737"/>
    <w:rsid w:val="00C82C80"/>
    <w:rsid w:val="00C91451"/>
    <w:rsid w:val="00DA0098"/>
    <w:rsid w:val="00DD445D"/>
    <w:rsid w:val="00E2353C"/>
    <w:rsid w:val="00E97F0D"/>
    <w:rsid w:val="00F45151"/>
    <w:rsid w:val="00F57253"/>
    <w:rsid w:val="00F86468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23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46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35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44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0D1"/>
  </w:style>
  <w:style w:type="paragraph" w:styleId="Zpat">
    <w:name w:val="footer"/>
    <w:basedOn w:val="Normln"/>
    <w:link w:val="ZpatChar"/>
    <w:uiPriority w:val="99"/>
    <w:unhideWhenUsed/>
    <w:rsid w:val="008D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0D1"/>
  </w:style>
  <w:style w:type="table" w:styleId="Mkatabulky">
    <w:name w:val="Table Grid"/>
    <w:basedOn w:val="Normlntabulka"/>
    <w:uiPriority w:val="59"/>
    <w:rsid w:val="00DA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B2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23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46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235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44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0D1"/>
  </w:style>
  <w:style w:type="paragraph" w:styleId="Zpat">
    <w:name w:val="footer"/>
    <w:basedOn w:val="Normln"/>
    <w:link w:val="ZpatChar"/>
    <w:uiPriority w:val="99"/>
    <w:unhideWhenUsed/>
    <w:rsid w:val="008D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0D1"/>
  </w:style>
  <w:style w:type="table" w:styleId="Mkatabulky">
    <w:name w:val="Table Grid"/>
    <w:basedOn w:val="Normlntabulka"/>
    <w:uiPriority w:val="59"/>
    <w:rsid w:val="00DA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B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yperlink" Target="https://cs.wikipedia.org/wiki/Polyvinylacet&#225;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s.wikipedia.org/wiki/Benzoylperoxid" TargetMode="External"/><Relationship Id="rId2" Type="http://schemas.openxmlformats.org/officeDocument/2006/relationships/styles" Target="styles.xml"/><Relationship Id="rId16" Type="http://schemas.openxmlformats.org/officeDocument/2006/relationships/hyperlink" Target="http://hajduch.eu/Chemie/ARENY.ht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jpeg"/><Relationship Id="rId19" Type="http://schemas.openxmlformats.org/officeDocument/2006/relationships/hyperlink" Target="https://www.poprokan.cz/tavne-pistole-a-tycinky-41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2017-09-26T17:15:00Z</dcterms:created>
  <dcterms:modified xsi:type="dcterms:W3CDTF">2017-09-27T06:27:00Z</dcterms:modified>
</cp:coreProperties>
</file>