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C4" w:rsidRPr="006B3D46" w:rsidRDefault="000307A1" w:rsidP="006B3D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3D46">
        <w:rPr>
          <w:rFonts w:ascii="Times New Roman" w:hAnsi="Times New Roman" w:cs="Times New Roman"/>
          <w:b/>
        </w:rPr>
        <w:t>Rentgen</w:t>
      </w:r>
      <w:r w:rsidR="00892F71" w:rsidRPr="006B3D46">
        <w:rPr>
          <w:rFonts w:ascii="Times New Roman" w:hAnsi="Times New Roman" w:cs="Times New Roman"/>
          <w:b/>
        </w:rPr>
        <w:t>-</w:t>
      </w:r>
      <w:r w:rsidRPr="006B3D46">
        <w:rPr>
          <w:rFonts w:ascii="Times New Roman" w:hAnsi="Times New Roman" w:cs="Times New Roman"/>
          <w:b/>
        </w:rPr>
        <w:t>fluorescenční spektrometrie (XRF)</w:t>
      </w:r>
    </w:p>
    <w:p w:rsidR="000307A1" w:rsidRPr="006B3D46" w:rsidRDefault="000307A1" w:rsidP="000307A1">
      <w:pPr>
        <w:spacing w:after="0" w:line="240" w:lineRule="auto"/>
        <w:rPr>
          <w:rFonts w:ascii="Times New Roman" w:hAnsi="Times New Roman" w:cs="Times New Roman"/>
        </w:rPr>
      </w:pPr>
    </w:p>
    <w:p w:rsidR="006B3D46" w:rsidRPr="006B3D46" w:rsidRDefault="006B3D46" w:rsidP="000307A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B3D46">
        <w:rPr>
          <w:rFonts w:ascii="Times New Roman" w:hAnsi="Times New Roman" w:cs="Times New Roman"/>
          <w:b/>
          <w:i/>
        </w:rPr>
        <w:t>Princip</w:t>
      </w:r>
    </w:p>
    <w:p w:rsidR="000307A1" w:rsidRPr="006B3D46" w:rsidRDefault="00892F71" w:rsidP="006B3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D46">
        <w:rPr>
          <w:rFonts w:ascii="Times New Roman" w:hAnsi="Times New Roman" w:cs="Times New Roman"/>
        </w:rPr>
        <w:t xml:space="preserve">Rentgen-fluorescenční analýza je metoda k určování prvkového složení materiálů. </w:t>
      </w:r>
      <w:r w:rsidR="00F21B3A" w:rsidRPr="006B3D46">
        <w:rPr>
          <w:rFonts w:ascii="Times New Roman" w:hAnsi="Times New Roman" w:cs="Times New Roman"/>
        </w:rPr>
        <w:t>Při ozařování materiálu vysokoenergetickým RTG-zářením dochází k jejich interakci. Je-li energie záření vyšší než ionizační energie atomů obsažených v materiálu, může docházet k ionizaci. Vzhledem k vysoké energii RTG záření dochází k vyražení elektronů z vnitřních orbitalů atomu, což způsobí nestabilitu atomu. Elektrony z vyšších energetických hladin proto následně přeskakují na uvolněná místa, přičemž dochází k uvolnění energie, která je rovna energetickému rozdílu zúčastněných orbitalů</w:t>
      </w:r>
      <w:r w:rsidR="00B705F4">
        <w:rPr>
          <w:rFonts w:ascii="Times New Roman" w:hAnsi="Times New Roman" w:cs="Times New Roman"/>
        </w:rPr>
        <w:t xml:space="preserve"> (obr. 1)</w:t>
      </w:r>
      <w:r w:rsidR="00F21B3A" w:rsidRPr="006B3D46">
        <w:rPr>
          <w:rFonts w:ascii="Times New Roman" w:hAnsi="Times New Roman" w:cs="Times New Roman"/>
        </w:rPr>
        <w:t xml:space="preserve">. Toto záření je tedy charakteristické pro každý jednotlivý typ atomu, tedy chemický prvek, s nímž RTG-záření interagovalo. </w:t>
      </w:r>
      <w:r w:rsidR="006B3D46">
        <w:rPr>
          <w:rFonts w:ascii="Times New Roman" w:hAnsi="Times New Roman" w:cs="Times New Roman"/>
        </w:rPr>
        <w:t xml:space="preserve">Toto záření je následně analyzováno ve spektrometru a z výsledného energetického spektra lze získat informace o chemickém složení materiálu v místě </w:t>
      </w:r>
      <w:r w:rsidR="004E0D8C">
        <w:rPr>
          <w:rFonts w:ascii="Times New Roman" w:hAnsi="Times New Roman" w:cs="Times New Roman"/>
        </w:rPr>
        <w:t>měření.</w:t>
      </w:r>
    </w:p>
    <w:p w:rsidR="006B3D46" w:rsidRDefault="006B3D46" w:rsidP="000307A1">
      <w:pPr>
        <w:spacing w:after="0" w:line="240" w:lineRule="auto"/>
        <w:rPr>
          <w:rFonts w:ascii="Times New Roman" w:hAnsi="Times New Roman" w:cs="Times New Roman"/>
        </w:rPr>
      </w:pPr>
    </w:p>
    <w:p w:rsidR="006B3D46" w:rsidRDefault="004E0D8C" w:rsidP="004E0D8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37AF566" wp14:editId="6F24F6B6">
            <wp:extent cx="3240000" cy="162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D8C" w:rsidRPr="004E0D8C" w:rsidRDefault="004E0D8C" w:rsidP="004E0D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E0D8C">
        <w:rPr>
          <w:rFonts w:ascii="Times New Roman" w:hAnsi="Times New Roman" w:cs="Times New Roman"/>
          <w:b/>
          <w:sz w:val="20"/>
        </w:rPr>
        <w:t xml:space="preserve">Obr. 1 Schéma </w:t>
      </w:r>
      <w:r w:rsidR="00B54AC3">
        <w:rPr>
          <w:rFonts w:ascii="Times New Roman" w:hAnsi="Times New Roman" w:cs="Times New Roman"/>
          <w:b/>
          <w:sz w:val="20"/>
        </w:rPr>
        <w:t xml:space="preserve">procesu </w:t>
      </w:r>
      <w:r w:rsidRPr="004E0D8C">
        <w:rPr>
          <w:rFonts w:ascii="Times New Roman" w:hAnsi="Times New Roman" w:cs="Times New Roman"/>
          <w:b/>
          <w:sz w:val="20"/>
        </w:rPr>
        <w:t>fluorescence</w:t>
      </w:r>
      <w:r w:rsidR="00B705F4">
        <w:rPr>
          <w:rFonts w:ascii="Times New Roman" w:hAnsi="Times New Roman" w:cs="Times New Roman"/>
          <w:b/>
          <w:sz w:val="20"/>
        </w:rPr>
        <w:t xml:space="preserve"> [1]</w:t>
      </w:r>
    </w:p>
    <w:p w:rsidR="006B3D46" w:rsidRDefault="006B3D46" w:rsidP="000307A1">
      <w:pPr>
        <w:spacing w:after="0" w:line="240" w:lineRule="auto"/>
        <w:rPr>
          <w:rFonts w:ascii="Times New Roman" w:hAnsi="Times New Roman" w:cs="Times New Roman"/>
        </w:rPr>
      </w:pPr>
    </w:p>
    <w:p w:rsidR="004E0D8C" w:rsidRDefault="004E0D8C" w:rsidP="00B54A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Laboratorní XRF obvykle pracuje ve vakuu a umožňuje přesné stanovení homogenních práškových vzorků. Pro neinvazivní průzkum </w:t>
      </w:r>
      <w:r w:rsidRPr="004E0D8C">
        <w:rPr>
          <w:rFonts w:ascii="Times New Roman" w:hAnsi="Times New Roman" w:cs="Times New Roman"/>
          <w:i/>
        </w:rPr>
        <w:t xml:space="preserve">in </w:t>
      </w:r>
      <w:proofErr w:type="spellStart"/>
      <w:r w:rsidRPr="004E0D8C">
        <w:rPr>
          <w:rFonts w:ascii="Times New Roman" w:hAnsi="Times New Roman" w:cs="Times New Roman"/>
          <w:i/>
        </w:rPr>
        <w:t>situ</w:t>
      </w:r>
      <w:proofErr w:type="spellEnd"/>
      <w:r>
        <w:rPr>
          <w:rFonts w:ascii="Times New Roman" w:hAnsi="Times New Roman" w:cs="Times New Roman"/>
        </w:rPr>
        <w:t xml:space="preserve"> se však využívají mobilní XRF analyzátory</w:t>
      </w:r>
      <w:r w:rsidR="00B705F4">
        <w:rPr>
          <w:rFonts w:ascii="Times New Roman" w:hAnsi="Times New Roman" w:cs="Times New Roman"/>
        </w:rPr>
        <w:t xml:space="preserve"> (obr. 2)</w:t>
      </w:r>
      <w:r>
        <w:rPr>
          <w:rFonts w:ascii="Times New Roman" w:hAnsi="Times New Roman" w:cs="Times New Roman"/>
        </w:rPr>
        <w:t>, které</w:t>
      </w:r>
      <w:r w:rsidR="00B54AC3">
        <w:rPr>
          <w:rFonts w:ascii="Times New Roman" w:hAnsi="Times New Roman" w:cs="Times New Roman"/>
        </w:rPr>
        <w:t xml:space="preserve"> nevyžadují žádnou přípravu vzorku a</w:t>
      </w:r>
      <w:r>
        <w:rPr>
          <w:rFonts w:ascii="Times New Roman" w:hAnsi="Times New Roman" w:cs="Times New Roman"/>
        </w:rPr>
        <w:t xml:space="preserve"> umožňují </w:t>
      </w:r>
      <w:r w:rsidR="00B54AC3">
        <w:rPr>
          <w:rFonts w:ascii="Times New Roman" w:hAnsi="Times New Roman" w:cs="Times New Roman"/>
        </w:rPr>
        <w:t xml:space="preserve">měření na vzduchu a </w:t>
      </w:r>
      <w:r>
        <w:rPr>
          <w:rFonts w:ascii="Times New Roman" w:hAnsi="Times New Roman" w:cs="Times New Roman"/>
        </w:rPr>
        <w:t xml:space="preserve">rychlou předběžnou bodovou analýzu na různých místech analyzovaných předmětů. </w:t>
      </w:r>
      <w:r w:rsidR="00B54AC3">
        <w:rPr>
          <w:rFonts w:ascii="Times New Roman" w:hAnsi="Times New Roman" w:cs="Times New Roman"/>
        </w:rPr>
        <w:t xml:space="preserve">Současným tématem v XRF spektrometrii je také mikroanalýza (μ-XRF) nebo naopak makroskopické skenování (MA-XRF), které umožňuje získávání prvkových map z velké </w:t>
      </w:r>
      <w:r w:rsidR="00B705F4">
        <w:rPr>
          <w:rFonts w:ascii="Times New Roman" w:hAnsi="Times New Roman" w:cs="Times New Roman"/>
        </w:rPr>
        <w:t>plochy.</w:t>
      </w:r>
      <w:r w:rsidR="001013D9">
        <w:rPr>
          <w:rFonts w:ascii="Times New Roman" w:hAnsi="Times New Roman" w:cs="Times New Roman"/>
        </w:rPr>
        <w:t xml:space="preserve"> Nevýhodou mobilních spektrometrů je nižší rozlišení zejm. pro lehké prvky, jejichž signál má nižší energii. Obecně lze</w:t>
      </w:r>
      <w:r w:rsidR="00177E87">
        <w:rPr>
          <w:rFonts w:ascii="Times New Roman" w:hAnsi="Times New Roman" w:cs="Times New Roman"/>
        </w:rPr>
        <w:t xml:space="preserve"> těmito</w:t>
      </w:r>
      <w:r w:rsidR="001013D9">
        <w:rPr>
          <w:rFonts w:ascii="Times New Roman" w:hAnsi="Times New Roman" w:cs="Times New Roman"/>
        </w:rPr>
        <w:t xml:space="preserve"> určit prvky od hořčíku výše. Další nevýhodou je </w:t>
      </w:r>
      <w:r w:rsidR="00177E87">
        <w:rPr>
          <w:rFonts w:ascii="Times New Roman" w:hAnsi="Times New Roman" w:cs="Times New Roman"/>
        </w:rPr>
        <w:t xml:space="preserve">vysoká </w:t>
      </w:r>
      <w:r w:rsidR="001013D9">
        <w:rPr>
          <w:rFonts w:ascii="Times New Roman" w:hAnsi="Times New Roman" w:cs="Times New Roman"/>
        </w:rPr>
        <w:t>pevná energie budícího zdroje</w:t>
      </w:r>
      <w:r w:rsidR="00177E87">
        <w:rPr>
          <w:rFonts w:ascii="Times New Roman" w:hAnsi="Times New Roman" w:cs="Times New Roman"/>
        </w:rPr>
        <w:t>, čímž paprsek pronikne do větší hloubky materiálu. Není tedy možné provádět analýzy tenkých povrchových vrstev a je nutné brát toto omezení v potaz při interpretaci výsledků (např. u pokovených předmětů).</w:t>
      </w:r>
    </w:p>
    <w:p w:rsidR="00997B39" w:rsidRDefault="00997B39" w:rsidP="00B54A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4AC3" w:rsidRDefault="00997B39" w:rsidP="00997B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0A2B9DC" wp14:editId="3DC0FC92">
            <wp:extent cx="3240000" cy="2169392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TA_hh_confi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B39" w:rsidRPr="00B705F4" w:rsidRDefault="00997B39" w:rsidP="00997B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5F4">
        <w:rPr>
          <w:rFonts w:ascii="Times New Roman" w:hAnsi="Times New Roman" w:cs="Times New Roman"/>
          <w:b/>
          <w:sz w:val="20"/>
          <w:szCs w:val="20"/>
        </w:rPr>
        <w:t>Obr. 2 Schematické znázornění ručního XRF spektrometru</w:t>
      </w:r>
      <w:r>
        <w:rPr>
          <w:rFonts w:ascii="Times New Roman" w:hAnsi="Times New Roman" w:cs="Times New Roman"/>
          <w:b/>
          <w:sz w:val="20"/>
          <w:szCs w:val="20"/>
        </w:rPr>
        <w:t xml:space="preserve"> [2]</w:t>
      </w:r>
    </w:p>
    <w:p w:rsidR="00997B39" w:rsidRDefault="00997B39" w:rsidP="00B54A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7B39" w:rsidRDefault="00997B39" w:rsidP="00B54AC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97B39" w:rsidRDefault="00997B3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B54AC3" w:rsidRPr="00B54AC3" w:rsidRDefault="00B54AC3" w:rsidP="00B54AC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54AC3">
        <w:rPr>
          <w:rFonts w:ascii="Times New Roman" w:hAnsi="Times New Roman" w:cs="Times New Roman"/>
          <w:b/>
          <w:i/>
        </w:rPr>
        <w:lastRenderedPageBreak/>
        <w:t>Instrumentace</w:t>
      </w:r>
    </w:p>
    <w:p w:rsidR="004E0D8C" w:rsidRDefault="00B54AC3" w:rsidP="000307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Ruční </w:t>
      </w:r>
      <w:proofErr w:type="spellStart"/>
      <w:r>
        <w:rPr>
          <w:rFonts w:ascii="Times New Roman" w:hAnsi="Times New Roman" w:cs="Times New Roman"/>
        </w:rPr>
        <w:t>energiově</w:t>
      </w:r>
      <w:proofErr w:type="spellEnd"/>
      <w:r>
        <w:rPr>
          <w:rFonts w:ascii="Times New Roman" w:hAnsi="Times New Roman" w:cs="Times New Roman"/>
        </w:rPr>
        <w:t>-disperzní XRF spektrometr Delta Premium (</w:t>
      </w:r>
      <w:proofErr w:type="spellStart"/>
      <w:r>
        <w:rPr>
          <w:rFonts w:ascii="Times New Roman" w:hAnsi="Times New Roman" w:cs="Times New Roman"/>
        </w:rPr>
        <w:t>Innov</w:t>
      </w:r>
      <w:proofErr w:type="spellEnd"/>
      <w:r>
        <w:rPr>
          <w:rFonts w:ascii="Times New Roman" w:hAnsi="Times New Roman" w:cs="Times New Roman"/>
        </w:rPr>
        <w:t xml:space="preserve">-X Systems, US) je vybaven 4W rentgenkou, SDD detektorem a </w:t>
      </w:r>
      <w:proofErr w:type="spellStart"/>
      <w:r>
        <w:rPr>
          <w:rFonts w:ascii="Times New Roman" w:hAnsi="Times New Roman" w:cs="Times New Roman"/>
        </w:rPr>
        <w:t>Rh</w:t>
      </w:r>
      <w:proofErr w:type="spellEnd"/>
      <w:r>
        <w:rPr>
          <w:rFonts w:ascii="Times New Roman" w:hAnsi="Times New Roman" w:cs="Times New Roman"/>
        </w:rPr>
        <w:t xml:space="preserve"> anodou (40 </w:t>
      </w:r>
      <w:proofErr w:type="spellStart"/>
      <w:r>
        <w:rPr>
          <w:rFonts w:ascii="Times New Roman" w:hAnsi="Times New Roman" w:cs="Times New Roman"/>
        </w:rPr>
        <w:t>kV</w:t>
      </w:r>
      <w:proofErr w:type="spellEnd"/>
      <w:r>
        <w:rPr>
          <w:rFonts w:ascii="Times New Roman" w:hAnsi="Times New Roman" w:cs="Times New Roman"/>
        </w:rPr>
        <w:t xml:space="preserve">). </w:t>
      </w:r>
      <w:r w:rsidR="00B705F4">
        <w:rPr>
          <w:rFonts w:ascii="Times New Roman" w:hAnsi="Times New Roman" w:cs="Times New Roman"/>
        </w:rPr>
        <w:t xml:space="preserve">Měřicí bod má průměr přibližně </w:t>
      </w:r>
      <w:r w:rsidR="00132AE1">
        <w:rPr>
          <w:rFonts w:ascii="Times New Roman" w:hAnsi="Times New Roman" w:cs="Times New Roman"/>
        </w:rPr>
        <w:t xml:space="preserve">3 </w:t>
      </w:r>
      <w:r w:rsidR="00B705F4">
        <w:rPr>
          <w:rFonts w:ascii="Times New Roman" w:hAnsi="Times New Roman" w:cs="Times New Roman"/>
        </w:rPr>
        <w:t xml:space="preserve">mm. Čas jednoho měření </w:t>
      </w:r>
      <w:r w:rsidR="00132AE1">
        <w:rPr>
          <w:rFonts w:ascii="Times New Roman" w:hAnsi="Times New Roman" w:cs="Times New Roman"/>
        </w:rPr>
        <w:t>závisí na potřebě uživatele</w:t>
      </w:r>
      <w:r w:rsidR="00B705F4">
        <w:rPr>
          <w:rFonts w:ascii="Times New Roman" w:hAnsi="Times New Roman" w:cs="Times New Roman"/>
        </w:rPr>
        <w:t>.</w:t>
      </w:r>
      <w:r w:rsidR="00132AE1">
        <w:rPr>
          <w:rFonts w:ascii="Times New Roman" w:hAnsi="Times New Roman" w:cs="Times New Roman"/>
        </w:rPr>
        <w:t xml:space="preserve"> Při provádění analýzy </w:t>
      </w:r>
      <w:r w:rsidR="00132AE1" w:rsidRPr="00997B39">
        <w:rPr>
          <w:rFonts w:ascii="Times New Roman" w:hAnsi="Times New Roman" w:cs="Times New Roman"/>
          <w:i/>
        </w:rPr>
        <w:t xml:space="preserve">in </w:t>
      </w:r>
      <w:proofErr w:type="spellStart"/>
      <w:r w:rsidR="00132AE1" w:rsidRPr="00997B39">
        <w:rPr>
          <w:rFonts w:ascii="Times New Roman" w:hAnsi="Times New Roman" w:cs="Times New Roman"/>
          <w:i/>
        </w:rPr>
        <w:t>situ</w:t>
      </w:r>
      <w:proofErr w:type="spellEnd"/>
      <w:r w:rsidR="00132AE1">
        <w:rPr>
          <w:rFonts w:ascii="Times New Roman" w:hAnsi="Times New Roman" w:cs="Times New Roman"/>
        </w:rPr>
        <w:t xml:space="preserve"> bez použití stojanu se se běžně nastavuje doba analýzy 10 – 30 s podle náročnosti terénu a situaci předmětu. Při použití stojanu je lepší pro přesnější výsledky nastavit čas na 60 s, přičemž lze využít navíc ještě automatické opakování analýzy.</w:t>
      </w:r>
    </w:p>
    <w:p w:rsidR="00B705F4" w:rsidRDefault="00B705F4" w:rsidP="00997B3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97B39" w:rsidRDefault="00997B39" w:rsidP="00997B3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B3D46" w:rsidRPr="006B3D46" w:rsidRDefault="006B3D46" w:rsidP="006B3D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3D46">
        <w:rPr>
          <w:rFonts w:ascii="Times New Roman" w:hAnsi="Times New Roman" w:cs="Times New Roman"/>
          <w:b/>
          <w:sz w:val="24"/>
        </w:rPr>
        <w:t>Spektroskopie laserem buzeného plazmatu (LIBS)</w:t>
      </w:r>
    </w:p>
    <w:p w:rsidR="006B3D46" w:rsidRPr="006B3D46" w:rsidRDefault="006B3D46" w:rsidP="006B3D46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B3D46" w:rsidRPr="006B3D46" w:rsidRDefault="006B3D46" w:rsidP="006B3D46">
      <w:pPr>
        <w:spacing w:after="0" w:line="240" w:lineRule="auto"/>
        <w:rPr>
          <w:rFonts w:ascii="Times New Roman" w:hAnsi="Times New Roman" w:cs="Times New Roman"/>
          <w:b/>
          <w:i/>
          <w:szCs w:val="26"/>
        </w:rPr>
      </w:pPr>
      <w:r w:rsidRPr="006B3D46">
        <w:rPr>
          <w:rFonts w:ascii="Times New Roman" w:hAnsi="Times New Roman" w:cs="Times New Roman"/>
          <w:b/>
          <w:i/>
          <w:szCs w:val="26"/>
        </w:rPr>
        <w:t>Princip</w:t>
      </w:r>
    </w:p>
    <w:p w:rsidR="006B3D46" w:rsidRPr="006B3D46" w:rsidRDefault="006B3D46" w:rsidP="006B3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D46">
        <w:rPr>
          <w:rFonts w:ascii="Times New Roman" w:hAnsi="Times New Roman" w:cs="Times New Roman"/>
        </w:rPr>
        <w:t xml:space="preserve">Spektroskopie laserem buzeného plazmatu (LIBS = Laser </w:t>
      </w:r>
      <w:proofErr w:type="spellStart"/>
      <w:r w:rsidRPr="006B3D46">
        <w:rPr>
          <w:rFonts w:ascii="Times New Roman" w:hAnsi="Times New Roman" w:cs="Times New Roman"/>
        </w:rPr>
        <w:t>Induced</w:t>
      </w:r>
      <w:proofErr w:type="spellEnd"/>
      <w:r w:rsidRPr="006B3D46">
        <w:rPr>
          <w:rFonts w:ascii="Times New Roman" w:hAnsi="Times New Roman" w:cs="Times New Roman"/>
        </w:rPr>
        <w:t xml:space="preserve"> </w:t>
      </w:r>
      <w:proofErr w:type="spellStart"/>
      <w:r w:rsidRPr="006B3D46">
        <w:rPr>
          <w:rFonts w:ascii="Times New Roman" w:hAnsi="Times New Roman" w:cs="Times New Roman"/>
        </w:rPr>
        <w:t>Breakdown</w:t>
      </w:r>
      <w:proofErr w:type="spellEnd"/>
      <w:r w:rsidRPr="006B3D46">
        <w:rPr>
          <w:rFonts w:ascii="Times New Roman" w:hAnsi="Times New Roman" w:cs="Times New Roman"/>
        </w:rPr>
        <w:t xml:space="preserve"> </w:t>
      </w:r>
      <w:proofErr w:type="spellStart"/>
      <w:r w:rsidRPr="006B3D46">
        <w:rPr>
          <w:rFonts w:ascii="Times New Roman" w:hAnsi="Times New Roman" w:cs="Times New Roman"/>
        </w:rPr>
        <w:t>Spectroscopy</w:t>
      </w:r>
      <w:proofErr w:type="spellEnd"/>
      <w:r w:rsidRPr="006B3D46">
        <w:rPr>
          <w:rFonts w:ascii="Times New Roman" w:hAnsi="Times New Roman" w:cs="Times New Roman"/>
        </w:rPr>
        <w:t xml:space="preserve">) je metoda atomové emisní spektrometrie, která využívá záření mikroplazmatu, vznikajícího po interakci fokusovaného laserového svazku se vzorkem. </w:t>
      </w:r>
    </w:p>
    <w:p w:rsidR="006B3D46" w:rsidRPr="006B3D46" w:rsidRDefault="006B3D46" w:rsidP="006B3D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D46" w:rsidRPr="006B3D46" w:rsidRDefault="006B3D46" w:rsidP="006B3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D46">
        <w:rPr>
          <w:rFonts w:ascii="Times New Roman" w:hAnsi="Times New Roman" w:cs="Times New Roman"/>
        </w:rPr>
        <w:t xml:space="preserve">Laserový pulz dopadající na povrch vzorku způsobí prudké zahřátí materiálu a následnou ablaci, při které dochází k uvolnění malého množství materiálu (řádově desítky až stovky </w:t>
      </w:r>
      <w:proofErr w:type="spellStart"/>
      <w:r w:rsidRPr="006B3D46">
        <w:rPr>
          <w:rFonts w:ascii="Times New Roman" w:hAnsi="Times New Roman" w:cs="Times New Roman"/>
        </w:rPr>
        <w:t>ng</w:t>
      </w:r>
      <w:proofErr w:type="spellEnd"/>
      <w:r w:rsidRPr="006B3D46">
        <w:rPr>
          <w:rFonts w:ascii="Times New Roman" w:hAnsi="Times New Roman" w:cs="Times New Roman"/>
        </w:rPr>
        <w:t xml:space="preserve">) a ke vzniku mikroplazmatu jehož záření je následně snímáno a spektrometricky vyhodnoceno.  Po skončení laserového pulzu dochází k rozpínání mikroplazmatu a emisi kontinuálního brzdného záření. Po době řádově několika set nanosekund se začne mikroplazma významně ochlazovat, intenzita brzdného záření klesá a ve spektru zůstanou již pouze charakteristické emisní čáry iontů nebo atomů. Na základě přiřazení čar jednotlivým prvkům je možné stanovit chemické složení vzorku (obr. </w:t>
      </w:r>
      <w:r w:rsidR="00B705F4">
        <w:rPr>
          <w:rFonts w:ascii="Times New Roman" w:hAnsi="Times New Roman" w:cs="Times New Roman"/>
        </w:rPr>
        <w:t>5</w:t>
      </w:r>
      <w:r w:rsidRPr="006B3D46">
        <w:rPr>
          <w:rFonts w:ascii="Times New Roman" w:hAnsi="Times New Roman" w:cs="Times New Roman"/>
        </w:rPr>
        <w:t>).</w:t>
      </w:r>
    </w:p>
    <w:p w:rsidR="006B3D46" w:rsidRPr="006B3D46" w:rsidRDefault="006B3D46" w:rsidP="006B3D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D46" w:rsidRPr="006B3D46" w:rsidRDefault="006B3D46" w:rsidP="006B3D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3D4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4845C49" wp14:editId="54D52905">
            <wp:extent cx="5760720" cy="1612900"/>
            <wp:effectExtent l="0" t="0" r="0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D46" w:rsidRPr="006B3D46" w:rsidRDefault="006B3D46" w:rsidP="006B3D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6B3D46">
        <w:rPr>
          <w:rFonts w:ascii="Times New Roman" w:hAnsi="Times New Roman" w:cs="Times New Roman"/>
          <w:b/>
          <w:sz w:val="20"/>
        </w:rPr>
        <w:t xml:space="preserve">Obr. </w:t>
      </w:r>
      <w:r w:rsidR="00B705F4">
        <w:rPr>
          <w:rFonts w:ascii="Times New Roman" w:hAnsi="Times New Roman" w:cs="Times New Roman"/>
          <w:b/>
          <w:sz w:val="20"/>
        </w:rPr>
        <w:t>3</w:t>
      </w:r>
      <w:r w:rsidRPr="006B3D46">
        <w:rPr>
          <w:rFonts w:ascii="Times New Roman" w:hAnsi="Times New Roman" w:cs="Times New Roman"/>
          <w:b/>
          <w:sz w:val="20"/>
        </w:rPr>
        <w:t xml:space="preserve"> Schéma procesů ve spektroskopii laserem buzeného plazmatu [</w:t>
      </w:r>
      <w:r w:rsidR="00B705F4">
        <w:rPr>
          <w:rFonts w:ascii="Times New Roman" w:hAnsi="Times New Roman" w:cs="Times New Roman"/>
          <w:b/>
          <w:sz w:val="20"/>
        </w:rPr>
        <w:t>5</w:t>
      </w:r>
      <w:r w:rsidRPr="006B3D46">
        <w:rPr>
          <w:rFonts w:ascii="Times New Roman" w:hAnsi="Times New Roman" w:cs="Times New Roman"/>
          <w:b/>
          <w:sz w:val="20"/>
        </w:rPr>
        <w:t>]</w:t>
      </w:r>
    </w:p>
    <w:p w:rsidR="006B3D46" w:rsidRPr="006B3D46" w:rsidRDefault="006B3D46" w:rsidP="006B3D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D46" w:rsidRPr="006B3D46" w:rsidRDefault="006B3D46" w:rsidP="006B3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D46">
        <w:rPr>
          <w:rFonts w:ascii="Times New Roman" w:hAnsi="Times New Roman" w:cs="Times New Roman"/>
        </w:rPr>
        <w:t xml:space="preserve">Metoda nevyžaduje žádnou přípravu vzorku a je možné ji používat na vzduchu při atmosférickém tlaku. S výhodou lze používat i dálkové formy, tzv. </w:t>
      </w:r>
      <w:proofErr w:type="spellStart"/>
      <w:r w:rsidRPr="006B3D46">
        <w:rPr>
          <w:rFonts w:ascii="Times New Roman" w:hAnsi="Times New Roman" w:cs="Times New Roman"/>
        </w:rPr>
        <w:t>remote</w:t>
      </w:r>
      <w:proofErr w:type="spellEnd"/>
      <w:r w:rsidRPr="006B3D46">
        <w:rPr>
          <w:rFonts w:ascii="Times New Roman" w:hAnsi="Times New Roman" w:cs="Times New Roman"/>
        </w:rPr>
        <w:t xml:space="preserve"> LIBS využívající optického vlákna nebo </w:t>
      </w:r>
      <w:proofErr w:type="spellStart"/>
      <w:r w:rsidRPr="006B3D46">
        <w:rPr>
          <w:rFonts w:ascii="Times New Roman" w:hAnsi="Times New Roman" w:cs="Times New Roman"/>
        </w:rPr>
        <w:t>stand-off</w:t>
      </w:r>
      <w:proofErr w:type="spellEnd"/>
      <w:r w:rsidRPr="006B3D46">
        <w:rPr>
          <w:rFonts w:ascii="Times New Roman" w:hAnsi="Times New Roman" w:cs="Times New Roman"/>
        </w:rPr>
        <w:t xml:space="preserve"> LIBS s teleskopem. Metoda je </w:t>
      </w:r>
      <w:proofErr w:type="spellStart"/>
      <w:r w:rsidRPr="006B3D46">
        <w:rPr>
          <w:rFonts w:ascii="Times New Roman" w:hAnsi="Times New Roman" w:cs="Times New Roman"/>
        </w:rPr>
        <w:t>mikrodestruktivní</w:t>
      </w:r>
      <w:proofErr w:type="spellEnd"/>
      <w:r w:rsidRPr="006B3D46">
        <w:rPr>
          <w:rFonts w:ascii="Times New Roman" w:hAnsi="Times New Roman" w:cs="Times New Roman"/>
        </w:rPr>
        <w:t>, a lze ji tedy využít v případech, kdy při použití jiných technik dochází ke znehodnocení vzorků v průběhu analýzy nebo není-li vůbec možný odběr vzorku v první řadě.</w:t>
      </w:r>
    </w:p>
    <w:p w:rsidR="006B3D46" w:rsidRPr="006B3D46" w:rsidRDefault="006B3D46" w:rsidP="006B3D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D46" w:rsidRPr="006B3D46" w:rsidRDefault="006B3D46" w:rsidP="006B3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D46">
        <w:rPr>
          <w:rFonts w:ascii="Times New Roman" w:hAnsi="Times New Roman" w:cs="Times New Roman"/>
        </w:rPr>
        <w:t xml:space="preserve">Vzhledem k jednoduchosti použití a nízké destruktivitě lze pomocí LIBS také vytvářet hloubkové profily (obr. 2), či povrchové mapy (obr. 3) a sledovat tak dvourozměrné i trojrozměrné rozložení prvků. V případě hloubkového profilu je laserový pulz vysílán opakovaně do jednoho místa, po každém pulzu je snímáno spektrum a následně se sleduje závislost intenzity záření na počtu pulzů pro zájmové prvky. Hloubkové profilování se využívá například pro rozlišení jednotlivých vrstev u vrstevnatých vzorků. Při povrchovém mapování sleduje laser předem určený rastr, přičemž do každého bodu rastru je vyslán jeden pulz a následně je snímáno spektrum. Jednotlivé prvky přítomné v mapovaném povrchu lze odlišit barevně a vytvořit tak přehledné mapy jejich rozložení. </w:t>
      </w:r>
    </w:p>
    <w:p w:rsidR="006B3D46" w:rsidRPr="006B3D46" w:rsidRDefault="006B3D46" w:rsidP="006B3D4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jc w:val="center"/>
        <w:tblInd w:w="-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3015"/>
      </w:tblGrid>
      <w:tr w:rsidR="006B3D46" w:rsidRPr="006B3D46" w:rsidTr="005C6B4B">
        <w:trPr>
          <w:jc w:val="center"/>
        </w:trPr>
        <w:tc>
          <w:tcPr>
            <w:tcW w:w="5126" w:type="dxa"/>
          </w:tcPr>
          <w:p w:rsidR="006B3D46" w:rsidRPr="006B3D46" w:rsidRDefault="006B3D46" w:rsidP="005C6B4B">
            <w:pPr>
              <w:jc w:val="center"/>
              <w:rPr>
                <w:rFonts w:ascii="Times New Roman" w:hAnsi="Times New Roman" w:cs="Times New Roman"/>
              </w:rPr>
            </w:pPr>
            <w:r w:rsidRPr="006B3D46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1093901E" wp14:editId="080C8693">
                  <wp:extent cx="2428875" cy="1724025"/>
                  <wp:effectExtent l="19050" t="0" r="9525" b="0"/>
                  <wp:docPr id="74" name="Obrázek 73" descr="Graf 146 B 4 depth prof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Obrázek 73" descr="Graf 146 B 4 depth profile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 l="7344" t="8727" r="9319" b="6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</w:tcPr>
          <w:p w:rsidR="006B3D46" w:rsidRPr="006B3D46" w:rsidRDefault="006B3D46" w:rsidP="005C6B4B">
            <w:pPr>
              <w:jc w:val="center"/>
              <w:rPr>
                <w:rFonts w:ascii="Times New Roman" w:hAnsi="Times New Roman" w:cs="Times New Roman"/>
              </w:rPr>
            </w:pPr>
            <w:r w:rsidRPr="006B3D4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393674E" wp14:editId="28EEF421">
                  <wp:extent cx="1751978" cy="1725433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1955" r="46444"/>
                          <a:stretch/>
                        </pic:blipFill>
                        <pic:spPr bwMode="auto">
                          <a:xfrm>
                            <a:off x="0" y="0"/>
                            <a:ext cx="1751627" cy="1725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D46" w:rsidRPr="006B3D46" w:rsidTr="005C6B4B">
        <w:trPr>
          <w:jc w:val="center"/>
        </w:trPr>
        <w:tc>
          <w:tcPr>
            <w:tcW w:w="5126" w:type="dxa"/>
          </w:tcPr>
          <w:p w:rsidR="006B3D46" w:rsidRPr="006B3D46" w:rsidRDefault="006B3D46" w:rsidP="00B70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D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Obr. </w:t>
            </w:r>
            <w:r w:rsidR="00B705F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B3D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Ukázka hloubkového profilu třívrstvého vzorku</w:t>
            </w:r>
          </w:p>
        </w:tc>
        <w:tc>
          <w:tcPr>
            <w:tcW w:w="3015" w:type="dxa"/>
          </w:tcPr>
          <w:p w:rsidR="006B3D46" w:rsidRPr="006B3D46" w:rsidRDefault="006B3D46" w:rsidP="00B705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D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Obr. </w:t>
            </w:r>
            <w:r w:rsidR="00B705F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B3D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Ukázka povrchové mapy</w:t>
            </w:r>
          </w:p>
        </w:tc>
      </w:tr>
    </w:tbl>
    <w:p w:rsidR="006B3D46" w:rsidRPr="006B3D46" w:rsidRDefault="006B3D46" w:rsidP="006B3D4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6B3D46" w:rsidRPr="004E0D8C" w:rsidRDefault="006B3D46" w:rsidP="006B3D4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E0D8C">
        <w:rPr>
          <w:rFonts w:ascii="Times New Roman" w:hAnsi="Times New Roman" w:cs="Times New Roman"/>
          <w:b/>
          <w:i/>
        </w:rPr>
        <w:t>Instrumentace</w:t>
      </w:r>
    </w:p>
    <w:p w:rsidR="006B3D46" w:rsidRPr="006B3D46" w:rsidRDefault="006B3D46" w:rsidP="006B3D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D46">
        <w:rPr>
          <w:rFonts w:ascii="Times New Roman" w:hAnsi="Times New Roman" w:cs="Times New Roman"/>
        </w:rPr>
        <w:t xml:space="preserve">Modifikovaný ablační systém New </w:t>
      </w:r>
      <w:proofErr w:type="spellStart"/>
      <w:r w:rsidRPr="006B3D46">
        <w:rPr>
          <w:rFonts w:ascii="Times New Roman" w:hAnsi="Times New Roman" w:cs="Times New Roman"/>
        </w:rPr>
        <w:t>Wawe</w:t>
      </w:r>
      <w:proofErr w:type="spellEnd"/>
      <w:r w:rsidRPr="006B3D46">
        <w:rPr>
          <w:rFonts w:ascii="Times New Roman" w:hAnsi="Times New Roman" w:cs="Times New Roman"/>
        </w:rPr>
        <w:t xml:space="preserve"> UP-266 MACRO (Obr. 4) je vybaven pevnolátkovým laserem </w:t>
      </w:r>
      <w:proofErr w:type="spellStart"/>
      <w:r w:rsidRPr="006B3D46">
        <w:rPr>
          <w:rFonts w:ascii="Times New Roman" w:hAnsi="Times New Roman" w:cs="Times New Roman"/>
        </w:rPr>
        <w:t>Nd:YAG</w:t>
      </w:r>
      <w:proofErr w:type="spellEnd"/>
      <w:r w:rsidRPr="006B3D46">
        <w:rPr>
          <w:rFonts w:ascii="Times New Roman" w:hAnsi="Times New Roman" w:cs="Times New Roman"/>
        </w:rPr>
        <w:t xml:space="preserve"> využívajícím čtvrtou harmonickou frekvenci (~ 266 </w:t>
      </w:r>
      <w:proofErr w:type="spellStart"/>
      <w:r w:rsidRPr="006B3D46">
        <w:rPr>
          <w:rFonts w:ascii="Times New Roman" w:hAnsi="Times New Roman" w:cs="Times New Roman"/>
        </w:rPr>
        <w:t>nm</w:t>
      </w:r>
      <w:proofErr w:type="spellEnd"/>
      <w:r w:rsidRPr="006B3D46">
        <w:rPr>
          <w:rFonts w:ascii="Times New Roman" w:hAnsi="Times New Roman" w:cs="Times New Roman"/>
        </w:rPr>
        <w:t xml:space="preserve">) a držákem pro upevnění pevných vzorků. Vzorek je snímán kamerou a držákem vzorku je možno pomocí softwaru pohybovat v osách x a y, což umožňuje skenování povrchu zkoumaného materiálu. Nevyužívá – </w:t>
      </w:r>
      <w:proofErr w:type="spellStart"/>
      <w:r w:rsidRPr="006B3D46">
        <w:rPr>
          <w:rFonts w:ascii="Times New Roman" w:hAnsi="Times New Roman" w:cs="Times New Roman"/>
        </w:rPr>
        <w:t>li</w:t>
      </w:r>
      <w:proofErr w:type="spellEnd"/>
      <w:r w:rsidRPr="006B3D46">
        <w:rPr>
          <w:rFonts w:ascii="Times New Roman" w:hAnsi="Times New Roman" w:cs="Times New Roman"/>
        </w:rPr>
        <w:t xml:space="preserve"> se ablační cely, probíhá měření vzorků na vzduchu pod atmosférickým tlakem. Emise mikroplazmatu je pomocí optického vlákna snímána a přenášena do monochromátoru typu </w:t>
      </w:r>
      <w:proofErr w:type="spellStart"/>
      <w:r w:rsidRPr="006B3D46">
        <w:rPr>
          <w:rFonts w:ascii="Times New Roman" w:hAnsi="Times New Roman" w:cs="Times New Roman"/>
        </w:rPr>
        <w:t>Czerny</w:t>
      </w:r>
      <w:proofErr w:type="spellEnd"/>
      <w:r w:rsidRPr="006B3D46">
        <w:rPr>
          <w:rFonts w:ascii="Times New Roman" w:hAnsi="Times New Roman" w:cs="Times New Roman"/>
        </w:rPr>
        <w:t>-Turner (</w:t>
      </w:r>
      <w:proofErr w:type="spellStart"/>
      <w:r w:rsidRPr="006B3D46">
        <w:rPr>
          <w:rFonts w:ascii="Times New Roman" w:hAnsi="Times New Roman" w:cs="Times New Roman"/>
        </w:rPr>
        <w:t>Jobin</w:t>
      </w:r>
      <w:proofErr w:type="spellEnd"/>
      <w:r w:rsidRPr="006B3D46">
        <w:rPr>
          <w:rFonts w:ascii="Times New Roman" w:hAnsi="Times New Roman" w:cs="Times New Roman"/>
        </w:rPr>
        <w:t xml:space="preserve"> Yvon, TRIAX 320, Francie) a detekována pomocí detektoru s intenzifikovanou CCD (</w:t>
      </w:r>
      <w:proofErr w:type="spellStart"/>
      <w:r w:rsidRPr="006B3D46">
        <w:rPr>
          <w:rFonts w:ascii="Times New Roman" w:hAnsi="Times New Roman" w:cs="Times New Roman"/>
        </w:rPr>
        <w:t>iCCD</w:t>
      </w:r>
      <w:proofErr w:type="spellEnd"/>
      <w:r w:rsidRPr="006B3D46">
        <w:rPr>
          <w:rFonts w:ascii="Times New Roman" w:hAnsi="Times New Roman" w:cs="Times New Roman"/>
        </w:rPr>
        <w:t xml:space="preserve">) kamerou (PI-MAX 3, </w:t>
      </w:r>
      <w:proofErr w:type="spellStart"/>
      <w:r w:rsidRPr="006B3D46">
        <w:rPr>
          <w:rFonts w:ascii="Times New Roman" w:hAnsi="Times New Roman" w:cs="Times New Roman"/>
        </w:rPr>
        <w:t>Princeton</w:t>
      </w:r>
      <w:proofErr w:type="spellEnd"/>
      <w:r w:rsidRPr="006B3D46">
        <w:rPr>
          <w:rFonts w:ascii="Times New Roman" w:hAnsi="Times New Roman" w:cs="Times New Roman"/>
        </w:rPr>
        <w:t xml:space="preserve"> Instruments, USA). Signál je následně vyhodnocen jako závislost intenzity záření na vlnové délce a lze jej dále zpracovávat pomocí počítačových programů. </w:t>
      </w:r>
    </w:p>
    <w:p w:rsidR="006B3D46" w:rsidRPr="006B3D46" w:rsidRDefault="006B3D46" w:rsidP="006B3D46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6B3D46" w:rsidRPr="006B3D46" w:rsidRDefault="006B3D46" w:rsidP="006B3D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3D4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21852D4" wp14:editId="2A2E7BBD">
            <wp:extent cx="2154804" cy="1940118"/>
            <wp:effectExtent l="0" t="0" r="0" b="0"/>
            <wp:docPr id="102" name="Picture 2" descr="F:\Fotky Biolibs\DSC_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2" descr="F:\Fotky Biolibs\DSC_03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07" t="8561" r="22936" b="17548"/>
                    <a:stretch/>
                  </pic:blipFill>
                  <pic:spPr bwMode="auto">
                    <a:xfrm>
                      <a:off x="0" y="0"/>
                      <a:ext cx="2170971" cy="1954674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D46" w:rsidRPr="006B3D46" w:rsidRDefault="006B3D46" w:rsidP="006B3D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6B3D46">
        <w:rPr>
          <w:rFonts w:ascii="Times New Roman" w:hAnsi="Times New Roman" w:cs="Times New Roman"/>
          <w:b/>
          <w:sz w:val="20"/>
        </w:rPr>
        <w:t xml:space="preserve">Obr. </w:t>
      </w:r>
      <w:r w:rsidR="00B705F4">
        <w:rPr>
          <w:rFonts w:ascii="Times New Roman" w:hAnsi="Times New Roman" w:cs="Times New Roman"/>
          <w:b/>
          <w:sz w:val="20"/>
        </w:rPr>
        <w:t>6</w:t>
      </w:r>
      <w:r w:rsidRPr="006B3D46">
        <w:rPr>
          <w:rFonts w:ascii="Times New Roman" w:hAnsi="Times New Roman" w:cs="Times New Roman"/>
          <w:b/>
          <w:sz w:val="20"/>
        </w:rPr>
        <w:t xml:space="preserve"> New </w:t>
      </w:r>
      <w:proofErr w:type="spellStart"/>
      <w:r w:rsidRPr="006B3D46">
        <w:rPr>
          <w:rFonts w:ascii="Times New Roman" w:hAnsi="Times New Roman" w:cs="Times New Roman"/>
          <w:b/>
          <w:sz w:val="20"/>
        </w:rPr>
        <w:t>Wawe</w:t>
      </w:r>
      <w:proofErr w:type="spellEnd"/>
      <w:r w:rsidRPr="006B3D46">
        <w:rPr>
          <w:rFonts w:ascii="Times New Roman" w:hAnsi="Times New Roman" w:cs="Times New Roman"/>
          <w:b/>
          <w:sz w:val="20"/>
        </w:rPr>
        <w:t xml:space="preserve"> UP-266 MACRO</w:t>
      </w:r>
    </w:p>
    <w:p w:rsidR="006B3D46" w:rsidRDefault="006B3D46" w:rsidP="000307A1">
      <w:pPr>
        <w:spacing w:after="0" w:line="240" w:lineRule="auto"/>
        <w:rPr>
          <w:rFonts w:ascii="Times New Roman" w:hAnsi="Times New Roman" w:cs="Times New Roman"/>
        </w:rPr>
      </w:pPr>
    </w:p>
    <w:p w:rsidR="00997B39" w:rsidRDefault="00997B39" w:rsidP="000307A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97B39" w:rsidRDefault="00997B39" w:rsidP="000307A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97B39" w:rsidRDefault="00997B39" w:rsidP="000307A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97B39" w:rsidRDefault="00997B39" w:rsidP="000307A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997B39" w:rsidRDefault="00997B39" w:rsidP="000307A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705F4" w:rsidRPr="005466F6" w:rsidRDefault="00B705F4" w:rsidP="000307A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466F6">
        <w:rPr>
          <w:rFonts w:ascii="Times New Roman" w:hAnsi="Times New Roman" w:cs="Times New Roman"/>
          <w:b/>
          <w:i/>
        </w:rPr>
        <w:t>Zdroje:</w:t>
      </w:r>
    </w:p>
    <w:p w:rsidR="00B705F4" w:rsidRPr="00997B39" w:rsidRDefault="00B705F4" w:rsidP="000307A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97B39">
        <w:rPr>
          <w:rFonts w:ascii="Times New Roman" w:hAnsi="Times New Roman" w:cs="Times New Roman"/>
          <w:sz w:val="20"/>
        </w:rPr>
        <w:t xml:space="preserve">[1] </w:t>
      </w:r>
      <w:proofErr w:type="spellStart"/>
      <w:r w:rsidRPr="00997B39">
        <w:rPr>
          <w:rFonts w:ascii="Times New Roman" w:hAnsi="Times New Roman" w:cs="Times New Roman"/>
          <w:i/>
          <w:sz w:val="20"/>
        </w:rPr>
        <w:t>Nanospec</w:t>
      </w:r>
      <w:proofErr w:type="spellEnd"/>
      <w:r w:rsidRPr="00997B39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997B39">
        <w:rPr>
          <w:rFonts w:ascii="Times New Roman" w:hAnsi="Times New Roman" w:cs="Times New Roman"/>
          <w:i/>
          <w:sz w:val="20"/>
        </w:rPr>
        <w:t>handheld</w:t>
      </w:r>
      <w:proofErr w:type="spellEnd"/>
      <w:r w:rsidRPr="00997B39">
        <w:rPr>
          <w:rFonts w:ascii="Times New Roman" w:hAnsi="Times New Roman" w:cs="Times New Roman"/>
          <w:i/>
          <w:sz w:val="20"/>
        </w:rPr>
        <w:t xml:space="preserve"> XRF</w:t>
      </w:r>
      <w:r w:rsidRPr="00997B39">
        <w:rPr>
          <w:rFonts w:ascii="Times New Roman" w:hAnsi="Times New Roman" w:cs="Times New Roman"/>
          <w:sz w:val="20"/>
        </w:rPr>
        <w:t xml:space="preserve"> [online]. [zobrazeno 2017-12-06]. Dostupné z:</w:t>
      </w:r>
      <w:bookmarkStart w:id="0" w:name="_GoBack"/>
      <w:bookmarkEnd w:id="0"/>
    </w:p>
    <w:p w:rsidR="00B705F4" w:rsidRPr="00997B39" w:rsidRDefault="00997B39" w:rsidP="000307A1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12" w:history="1">
        <w:r w:rsidR="00B705F4" w:rsidRPr="00997B39">
          <w:rPr>
            <w:rStyle w:val="Hypertextovodkaz"/>
            <w:rFonts w:ascii="Times New Roman" w:hAnsi="Times New Roman" w:cs="Times New Roman"/>
            <w:sz w:val="20"/>
          </w:rPr>
          <w:t>http://www.handheldxrf.com.au/technology_handheld_xrf.php</w:t>
        </w:r>
      </w:hyperlink>
    </w:p>
    <w:p w:rsidR="00B705F4" w:rsidRPr="00997B39" w:rsidRDefault="00B705F4" w:rsidP="000307A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97B39">
        <w:rPr>
          <w:rFonts w:ascii="Times New Roman" w:hAnsi="Times New Roman" w:cs="Times New Roman"/>
          <w:sz w:val="20"/>
        </w:rPr>
        <w:t xml:space="preserve">[2] </w:t>
      </w:r>
      <w:r w:rsidRPr="00997B39">
        <w:rPr>
          <w:rFonts w:ascii="Times New Roman" w:hAnsi="Times New Roman" w:cs="Times New Roman"/>
          <w:i/>
          <w:sz w:val="20"/>
        </w:rPr>
        <w:t xml:space="preserve">DELTA </w:t>
      </w:r>
      <w:proofErr w:type="spellStart"/>
      <w:r w:rsidRPr="00997B39">
        <w:rPr>
          <w:rFonts w:ascii="Times New Roman" w:hAnsi="Times New Roman" w:cs="Times New Roman"/>
          <w:i/>
          <w:sz w:val="20"/>
        </w:rPr>
        <w:t>Education</w:t>
      </w:r>
      <w:proofErr w:type="spellEnd"/>
      <w:r w:rsidRPr="00997B39">
        <w:rPr>
          <w:rFonts w:ascii="Times New Roman" w:hAnsi="Times New Roman" w:cs="Times New Roman"/>
          <w:i/>
          <w:sz w:val="20"/>
        </w:rPr>
        <w:t xml:space="preserve"> &amp; </w:t>
      </w:r>
      <w:proofErr w:type="spellStart"/>
      <w:r w:rsidRPr="00997B39">
        <w:rPr>
          <w:rFonts w:ascii="Times New Roman" w:hAnsi="Times New Roman" w:cs="Times New Roman"/>
          <w:i/>
          <w:sz w:val="20"/>
        </w:rPr>
        <w:t>Research</w:t>
      </w:r>
      <w:proofErr w:type="spellEnd"/>
      <w:r w:rsidRPr="00997B39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997B39">
        <w:rPr>
          <w:rFonts w:ascii="Times New Roman" w:hAnsi="Times New Roman" w:cs="Times New Roman"/>
          <w:i/>
          <w:sz w:val="20"/>
        </w:rPr>
        <w:t>Handheld</w:t>
      </w:r>
      <w:proofErr w:type="spellEnd"/>
      <w:r w:rsidRPr="00997B39">
        <w:rPr>
          <w:rFonts w:ascii="Times New Roman" w:hAnsi="Times New Roman" w:cs="Times New Roman"/>
          <w:i/>
          <w:sz w:val="20"/>
        </w:rPr>
        <w:t xml:space="preserve"> XRF </w:t>
      </w:r>
      <w:proofErr w:type="spellStart"/>
      <w:r w:rsidRPr="00997B39">
        <w:rPr>
          <w:rFonts w:ascii="Times New Roman" w:hAnsi="Times New Roman" w:cs="Times New Roman"/>
          <w:i/>
          <w:sz w:val="20"/>
        </w:rPr>
        <w:t>Analyzer</w:t>
      </w:r>
      <w:proofErr w:type="spellEnd"/>
      <w:r w:rsidRPr="00997B39">
        <w:rPr>
          <w:rFonts w:ascii="Times New Roman" w:hAnsi="Times New Roman" w:cs="Times New Roman"/>
          <w:sz w:val="20"/>
        </w:rPr>
        <w:t xml:space="preserve"> [online]. [zobrazeno 2017-12-06]. Dostupné z: </w:t>
      </w:r>
      <w:hyperlink r:id="rId13" w:history="1">
        <w:r w:rsidRPr="00997B39">
          <w:rPr>
            <w:rStyle w:val="Hypertextovodkaz"/>
            <w:rFonts w:ascii="Times New Roman" w:hAnsi="Times New Roman" w:cs="Times New Roman"/>
            <w:sz w:val="20"/>
          </w:rPr>
          <w:t>https://www.olympus-ims.com/en/xrf-xrd/delta-handheld/delta-r-and-d/</w:t>
        </w:r>
      </w:hyperlink>
    </w:p>
    <w:p w:rsidR="00B705F4" w:rsidRPr="00997B39" w:rsidRDefault="00B705F4" w:rsidP="000307A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97B39">
        <w:rPr>
          <w:rFonts w:ascii="Times New Roman" w:hAnsi="Times New Roman" w:cs="Times New Roman"/>
          <w:sz w:val="20"/>
        </w:rPr>
        <w:t>[3]</w:t>
      </w:r>
      <w:r w:rsidRPr="00997B39">
        <w:rPr>
          <w:sz w:val="20"/>
        </w:rPr>
        <w:t xml:space="preserve"> </w:t>
      </w:r>
      <w:r w:rsidRPr="00997B39">
        <w:rPr>
          <w:rFonts w:ascii="Times New Roman" w:hAnsi="Times New Roman" w:cs="Times New Roman"/>
          <w:sz w:val="20"/>
        </w:rPr>
        <w:t>J. Hradilová, D. Hradil, Neinvazivní průzkum malířských výtvarných děl radiografickými a rentgen-fluorescenčními metodami, Akademie výtvarných umění, Praha, Česká republika, 2015.</w:t>
      </w:r>
    </w:p>
    <w:p w:rsidR="00B705F4" w:rsidRPr="00997B39" w:rsidRDefault="00B705F4" w:rsidP="000307A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97B39">
        <w:rPr>
          <w:rFonts w:ascii="Times New Roman" w:hAnsi="Times New Roman" w:cs="Times New Roman"/>
          <w:sz w:val="20"/>
        </w:rPr>
        <w:t xml:space="preserve">[4] </w:t>
      </w:r>
      <w:r w:rsidRPr="00997B39">
        <w:rPr>
          <w:rFonts w:ascii="Times New Roman" w:hAnsi="Times New Roman" w:cs="Times New Roman"/>
          <w:i/>
          <w:sz w:val="20"/>
        </w:rPr>
        <w:t>X-</w:t>
      </w:r>
      <w:proofErr w:type="spellStart"/>
      <w:r w:rsidRPr="00997B39">
        <w:rPr>
          <w:rFonts w:ascii="Times New Roman" w:hAnsi="Times New Roman" w:cs="Times New Roman"/>
          <w:i/>
          <w:sz w:val="20"/>
        </w:rPr>
        <w:t>ray</w:t>
      </w:r>
      <w:proofErr w:type="spellEnd"/>
      <w:r w:rsidRPr="00997B39">
        <w:rPr>
          <w:rFonts w:ascii="Times New Roman" w:hAnsi="Times New Roman" w:cs="Times New Roman"/>
          <w:i/>
          <w:sz w:val="20"/>
        </w:rPr>
        <w:t xml:space="preserve"> fluorescence</w:t>
      </w:r>
      <w:r w:rsidRPr="00997B39">
        <w:rPr>
          <w:rFonts w:ascii="Times New Roman" w:hAnsi="Times New Roman" w:cs="Times New Roman"/>
          <w:sz w:val="20"/>
        </w:rPr>
        <w:t xml:space="preserve"> [online]. [zobrazeno 2017-12-06]. Dostupné z: </w:t>
      </w:r>
    </w:p>
    <w:p w:rsidR="00B705F4" w:rsidRPr="00997B39" w:rsidRDefault="00997B39" w:rsidP="000307A1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14" w:history="1">
        <w:r w:rsidR="00B705F4" w:rsidRPr="00997B39">
          <w:rPr>
            <w:rStyle w:val="Hypertextovodkaz"/>
            <w:rFonts w:ascii="Times New Roman" w:hAnsi="Times New Roman" w:cs="Times New Roman"/>
            <w:sz w:val="20"/>
          </w:rPr>
          <w:t>https://en.wikipedia.org/wiki/X-ray_fluorescence</w:t>
        </w:r>
      </w:hyperlink>
    </w:p>
    <w:p w:rsidR="00B705F4" w:rsidRPr="00997B39" w:rsidRDefault="00B705F4" w:rsidP="00B705F4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</w:rPr>
      </w:pPr>
      <w:r w:rsidRPr="00997B39">
        <w:rPr>
          <w:rFonts w:ascii="Times New Roman" w:hAnsi="Times New Roman" w:cs="Times New Roman"/>
          <w:noProof/>
          <w:sz w:val="20"/>
        </w:rPr>
        <w:t xml:space="preserve">[5] </w:t>
      </w:r>
      <w:r w:rsidRPr="00997B39">
        <w:rPr>
          <w:rFonts w:ascii="Times New Roman" w:hAnsi="Times New Roman" w:cs="Times New Roman"/>
          <w:i/>
          <w:iCs/>
          <w:noProof/>
          <w:sz w:val="20"/>
        </w:rPr>
        <w:t xml:space="preserve">What is LIBS? </w:t>
      </w:r>
      <w:r w:rsidRPr="00997B39">
        <w:rPr>
          <w:rFonts w:ascii="Times New Roman" w:hAnsi="Times New Roman" w:cs="Times New Roman"/>
          <w:noProof/>
          <w:sz w:val="20"/>
        </w:rPr>
        <w:t xml:space="preserve">[online]. </w:t>
      </w:r>
      <w:r w:rsidRPr="00997B39">
        <w:rPr>
          <w:rFonts w:ascii="Times New Roman" w:hAnsi="Times New Roman" w:cs="Times New Roman"/>
          <w:noProof/>
          <w:sz w:val="20"/>
          <w:lang w:val="en-US"/>
        </w:rPr>
        <w:t>[zobrazeno 201</w:t>
      </w:r>
      <w:r w:rsidRPr="00997B39">
        <w:rPr>
          <w:rFonts w:ascii="Times New Roman" w:hAnsi="Times New Roman" w:cs="Times New Roman"/>
          <w:noProof/>
          <w:sz w:val="20"/>
        </w:rPr>
        <w:t>6</w:t>
      </w:r>
      <w:r w:rsidRPr="00997B39">
        <w:rPr>
          <w:rFonts w:ascii="Times New Roman" w:hAnsi="Times New Roman" w:cs="Times New Roman"/>
          <w:noProof/>
          <w:sz w:val="20"/>
          <w:lang w:val="en-US"/>
        </w:rPr>
        <w:t>-</w:t>
      </w:r>
      <w:r w:rsidRPr="00997B39">
        <w:rPr>
          <w:rFonts w:ascii="Times New Roman" w:hAnsi="Times New Roman" w:cs="Times New Roman"/>
          <w:noProof/>
          <w:sz w:val="20"/>
        </w:rPr>
        <w:t>09</w:t>
      </w:r>
      <w:r w:rsidRPr="00997B39">
        <w:rPr>
          <w:rFonts w:ascii="Times New Roman" w:hAnsi="Times New Roman" w:cs="Times New Roman"/>
          <w:noProof/>
          <w:sz w:val="20"/>
          <w:lang w:val="en-US"/>
        </w:rPr>
        <w:t>-</w:t>
      </w:r>
      <w:r w:rsidRPr="00997B39">
        <w:rPr>
          <w:rFonts w:ascii="Times New Roman" w:hAnsi="Times New Roman" w:cs="Times New Roman"/>
          <w:noProof/>
          <w:sz w:val="20"/>
        </w:rPr>
        <w:t>05</w:t>
      </w:r>
      <w:r w:rsidRPr="00997B39">
        <w:rPr>
          <w:rFonts w:ascii="Times New Roman" w:hAnsi="Times New Roman" w:cs="Times New Roman"/>
          <w:noProof/>
          <w:sz w:val="20"/>
          <w:lang w:val="en-US"/>
        </w:rPr>
        <w:t xml:space="preserve">]. </w:t>
      </w:r>
      <w:r w:rsidRPr="00997B39">
        <w:rPr>
          <w:rFonts w:ascii="Times New Roman" w:hAnsi="Times New Roman" w:cs="Times New Roman"/>
          <w:noProof/>
          <w:sz w:val="20"/>
        </w:rPr>
        <w:t xml:space="preserve"> Dostupné z: </w:t>
      </w:r>
    </w:p>
    <w:p w:rsidR="00B705F4" w:rsidRPr="00997B39" w:rsidRDefault="00997B39" w:rsidP="00B705F4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</w:rPr>
      </w:pPr>
      <w:hyperlink r:id="rId15" w:history="1">
        <w:r w:rsidR="00B705F4" w:rsidRPr="00997B39">
          <w:rPr>
            <w:rStyle w:val="Hypertextovodkaz"/>
            <w:rFonts w:ascii="Times New Roman" w:hAnsi="Times New Roman" w:cs="Times New Roman"/>
            <w:noProof/>
            <w:sz w:val="20"/>
          </w:rPr>
          <w:t>http</w:t>
        </w:r>
      </w:hyperlink>
      <w:hyperlink r:id="rId16" w:history="1">
        <w:r w:rsidR="00B705F4" w:rsidRPr="00997B39">
          <w:rPr>
            <w:rStyle w:val="Hypertextovodkaz"/>
            <w:rFonts w:ascii="Times New Roman" w:hAnsi="Times New Roman" w:cs="Times New Roman"/>
            <w:noProof/>
            <w:sz w:val="20"/>
          </w:rPr>
          <w:t>://</w:t>
        </w:r>
      </w:hyperlink>
      <w:hyperlink r:id="rId17" w:history="1">
        <w:r w:rsidR="00B705F4" w:rsidRPr="00997B39">
          <w:rPr>
            <w:rStyle w:val="Hypertextovodkaz"/>
            <w:rFonts w:ascii="Times New Roman" w:hAnsi="Times New Roman" w:cs="Times New Roman"/>
            <w:noProof/>
            <w:sz w:val="20"/>
          </w:rPr>
          <w:t>www1.uwindsor.ca/people/rehse/15/what-is-libs</w:t>
        </w:r>
      </w:hyperlink>
    </w:p>
    <w:p w:rsidR="00B705F4" w:rsidRPr="00997B39" w:rsidRDefault="00B705F4" w:rsidP="00B705F4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</w:rPr>
      </w:pPr>
      <w:r w:rsidRPr="00997B39">
        <w:rPr>
          <w:rFonts w:ascii="Times New Roman" w:hAnsi="Times New Roman" w:cs="Times New Roman"/>
          <w:noProof/>
          <w:sz w:val="20"/>
        </w:rPr>
        <w:t xml:space="preserve">[6] </w:t>
      </w:r>
      <w:r w:rsidRPr="00997B39">
        <w:rPr>
          <w:rFonts w:ascii="Times New Roman" w:hAnsi="Times New Roman" w:cs="Times New Roman"/>
          <w:i/>
          <w:noProof/>
          <w:sz w:val="20"/>
        </w:rPr>
        <w:t>Fyzikální princip LIBS</w:t>
      </w:r>
      <w:r w:rsidRPr="00997B39">
        <w:rPr>
          <w:rFonts w:ascii="Times New Roman" w:hAnsi="Times New Roman" w:cs="Times New Roman"/>
          <w:noProof/>
          <w:sz w:val="20"/>
        </w:rPr>
        <w:t xml:space="preserve"> [online]. 2014-11-09 [zobrazeno 2016-10-10]. Dostupné z:</w:t>
      </w:r>
    </w:p>
    <w:p w:rsidR="00B705F4" w:rsidRPr="00997B39" w:rsidRDefault="00997B39" w:rsidP="005466F6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</w:rPr>
      </w:pPr>
      <w:hyperlink r:id="rId18" w:history="1">
        <w:r w:rsidR="00B705F4" w:rsidRPr="00997B39">
          <w:rPr>
            <w:rStyle w:val="Hypertextovodkaz"/>
            <w:rFonts w:ascii="Times New Roman" w:hAnsi="Times New Roman" w:cs="Times New Roman"/>
            <w:noProof/>
            <w:sz w:val="20"/>
          </w:rPr>
          <w:t>http://libs.fme.vutbr.cz/index.php/teorie/fyzikalni-princip-libs-zaklady</w:t>
        </w:r>
      </w:hyperlink>
    </w:p>
    <w:sectPr w:rsidR="00B705F4" w:rsidRPr="00997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FA"/>
    <w:rsid w:val="000307A1"/>
    <w:rsid w:val="001013D9"/>
    <w:rsid w:val="00132AE1"/>
    <w:rsid w:val="00177E87"/>
    <w:rsid w:val="004E0D8C"/>
    <w:rsid w:val="005466F6"/>
    <w:rsid w:val="006B3D46"/>
    <w:rsid w:val="00892F71"/>
    <w:rsid w:val="008A7B0B"/>
    <w:rsid w:val="00904471"/>
    <w:rsid w:val="00997B39"/>
    <w:rsid w:val="009E11EF"/>
    <w:rsid w:val="009E78FA"/>
    <w:rsid w:val="00B54AC3"/>
    <w:rsid w:val="00B705F4"/>
    <w:rsid w:val="00F2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B3D46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D4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05F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66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B3D46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D4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05F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6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olympus-ims.com/en/xrf-xrd/delta-handheld/delta-r-and-d/" TargetMode="External"/><Relationship Id="rId18" Type="http://schemas.openxmlformats.org/officeDocument/2006/relationships/hyperlink" Target="http://libs.fme.vutbr.cz/index.php/teorie/fyzikalni-princip-libs-zaklad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://www.handheldxrf.com.au/technology_handheld_xrf.php" TargetMode="External"/><Relationship Id="rId17" Type="http://schemas.openxmlformats.org/officeDocument/2006/relationships/hyperlink" Target="http://www1.uwindsor.ca/people/rehse/15/what-is-lib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uwindsor.ca/people/rehse/15/what-is-lib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1.uwindsor.ca/people/rehse/15/what-is-libs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en.wikipedia.org/wiki/X-ray_fluorescenc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21F7-8D73-494B-BB4F-FB8F9010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1015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2017-12-06T14:46:00Z</dcterms:created>
  <dcterms:modified xsi:type="dcterms:W3CDTF">2017-12-06T14:54:00Z</dcterms:modified>
</cp:coreProperties>
</file>