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73" w:rsidRPr="00F84E73" w:rsidRDefault="00F84E73" w:rsidP="004931D7">
      <w:pPr>
        <w:jc w:val="center"/>
        <w:rPr>
          <w:rFonts w:asciiTheme="majorHAnsi" w:hAnsiTheme="majorHAnsi"/>
          <w:b/>
          <w:sz w:val="28"/>
          <w:szCs w:val="28"/>
        </w:rPr>
      </w:pPr>
      <w:r w:rsidRPr="00F84E73">
        <w:rPr>
          <w:rFonts w:asciiTheme="majorHAnsi" w:hAnsiTheme="majorHAnsi"/>
          <w:b/>
          <w:sz w:val="28"/>
          <w:szCs w:val="28"/>
        </w:rPr>
        <w:t>METEOROLOGIE A KLIMATOLOGIE</w:t>
      </w:r>
    </w:p>
    <w:p w:rsidR="00F84E73" w:rsidRPr="00F84E73" w:rsidRDefault="00F84E73" w:rsidP="004931D7">
      <w:pPr>
        <w:jc w:val="center"/>
        <w:rPr>
          <w:rFonts w:asciiTheme="majorHAnsi" w:hAnsiTheme="majorHAnsi"/>
          <w:sz w:val="28"/>
          <w:szCs w:val="28"/>
        </w:rPr>
      </w:pPr>
      <w:r w:rsidRPr="00F84E73">
        <w:rPr>
          <w:rFonts w:asciiTheme="majorHAnsi" w:hAnsiTheme="majorHAnsi"/>
          <w:sz w:val="28"/>
          <w:szCs w:val="28"/>
        </w:rPr>
        <w:t>Cvičení číslo 1</w:t>
      </w:r>
    </w:p>
    <w:p w:rsidR="00F84E73" w:rsidRPr="004931D7" w:rsidRDefault="00F84E73" w:rsidP="004931D7">
      <w:pPr>
        <w:jc w:val="center"/>
        <w:rPr>
          <w:rFonts w:asciiTheme="majorHAnsi" w:hAnsiTheme="majorHAnsi"/>
          <w:sz w:val="28"/>
          <w:szCs w:val="28"/>
        </w:rPr>
      </w:pPr>
      <w:r w:rsidRPr="004931D7">
        <w:rPr>
          <w:rFonts w:asciiTheme="majorHAnsi" w:hAnsiTheme="majorHAnsi"/>
          <w:sz w:val="28"/>
          <w:szCs w:val="28"/>
        </w:rPr>
        <w:t>Klimatologické indexy</w:t>
      </w:r>
    </w:p>
    <w:p w:rsidR="00F84E73" w:rsidRDefault="00F84E73" w:rsidP="004931D7">
      <w:pPr>
        <w:jc w:val="center"/>
      </w:pPr>
    </w:p>
    <w:p w:rsidR="00F84E73" w:rsidRPr="00F84E73" w:rsidRDefault="00F84E73" w:rsidP="004931D7">
      <w:pPr>
        <w:rPr>
          <w:b/>
        </w:rPr>
      </w:pPr>
      <w:r w:rsidRPr="00F84E73">
        <w:rPr>
          <w:b/>
        </w:rPr>
        <w:t xml:space="preserve">ZADÁNÍ </w:t>
      </w:r>
    </w:p>
    <w:p w:rsidR="00F84E73" w:rsidRDefault="00F84E73" w:rsidP="004931D7">
      <w:r>
        <w:t xml:space="preserve">Pro zadané stanice ze světa vypsat roční chod teploty vzduchu a srážek a početně či graficky zpracovat následující charakteristiky: </w:t>
      </w:r>
    </w:p>
    <w:p w:rsidR="00B77640" w:rsidRPr="004931D7" w:rsidRDefault="00B77640" w:rsidP="004931D7">
      <w:r w:rsidRPr="004931D7">
        <w:t xml:space="preserve">1)Pluviometrický koeficient – hodnocení ročního rozdělení srážek </w:t>
      </w:r>
    </w:p>
    <w:p w:rsidR="00B77640" w:rsidRPr="004931D7" w:rsidRDefault="00B77640" w:rsidP="004931D7">
      <w:r w:rsidRPr="004931D7">
        <w:t xml:space="preserve">2) Hodnocení kontinentality/oceanity klimatu </w:t>
      </w:r>
    </w:p>
    <w:p w:rsidR="00B77640" w:rsidRDefault="00B77640" w:rsidP="004931D7">
      <w:r>
        <w:tab/>
        <w:t xml:space="preserve">- Index termické kontinentality </w:t>
      </w:r>
    </w:p>
    <w:p w:rsidR="00B77640" w:rsidRDefault="00B77640" w:rsidP="004931D7">
      <w:r>
        <w:tab/>
        <w:t>- Index ombrické kontinentality</w:t>
      </w:r>
    </w:p>
    <w:p w:rsidR="00B77640" w:rsidRDefault="00B77640" w:rsidP="004931D7">
      <w:r>
        <w:tab/>
        <w:t xml:space="preserve">- Doba polovičních srážek (srážkový poločas) </w:t>
      </w:r>
    </w:p>
    <w:p w:rsidR="00F84E73" w:rsidRDefault="00B77640" w:rsidP="004931D7">
      <w:r>
        <w:tab/>
        <w:t>- Poloha těžiště srážek</w:t>
      </w:r>
    </w:p>
    <w:p w:rsidR="00B77640" w:rsidRDefault="00B77640" w:rsidP="004931D7">
      <w:pPr>
        <w:rPr>
          <w:b/>
        </w:rPr>
      </w:pPr>
    </w:p>
    <w:p w:rsidR="00F84E73" w:rsidRDefault="00852F5E" w:rsidP="004931D7">
      <w:pPr>
        <w:rPr>
          <w:b/>
        </w:rPr>
      </w:pPr>
      <w:r w:rsidRPr="00442AC5">
        <w:rPr>
          <w:b/>
        </w:rPr>
        <w:t>VYPRACOVÁNÍ</w:t>
      </w:r>
    </w:p>
    <w:p w:rsidR="001E7F13" w:rsidRDefault="001E7F13" w:rsidP="004931D7">
      <w:commentRangeStart w:id="0"/>
      <w:r>
        <w:t>Úkoly jsem vypracovával</w:t>
      </w:r>
      <w:r w:rsidR="00C455CF">
        <w:t>a</w:t>
      </w:r>
      <w:r>
        <w:t xml:space="preserve"> </w:t>
      </w:r>
      <w:commentRangeEnd w:id="0"/>
      <w:r w:rsidR="00563F04">
        <w:rPr>
          <w:rStyle w:val="Odkaznakoment"/>
        </w:rPr>
        <w:commentReference w:id="0"/>
      </w:r>
      <w:r>
        <w:t>pro následující klimatologické stanice:</w:t>
      </w:r>
    </w:p>
    <w:p w:rsidR="001E7F13" w:rsidRPr="001E7F13" w:rsidRDefault="001E7F13" w:rsidP="004931D7">
      <w:pPr>
        <w:pStyle w:val="Odstavecseseznamem"/>
        <w:numPr>
          <w:ilvl w:val="0"/>
          <w:numId w:val="1"/>
        </w:numPr>
      </w:pPr>
      <w:r w:rsidRPr="001E7F13">
        <w:rPr>
          <w:rFonts w:cstheme="minorHAnsi"/>
          <w:color w:val="000000"/>
          <w:shd w:val="clear" w:color="auto" w:fill="FFFFFF"/>
        </w:rPr>
        <w:t>Sniezka</w:t>
      </w:r>
      <w:r w:rsidR="00B468A0">
        <w:rPr>
          <w:rFonts w:cstheme="minorHAnsi"/>
          <w:color w:val="000000"/>
          <w:shd w:val="clear" w:color="auto" w:fill="FFFFFF"/>
        </w:rPr>
        <w:t xml:space="preserve"> (PL)</w:t>
      </w:r>
    </w:p>
    <w:p w:rsidR="001E7F13" w:rsidRPr="001E7F13" w:rsidRDefault="001E7F13" w:rsidP="004931D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E7F13">
        <w:rPr>
          <w:rFonts w:cstheme="minorHAnsi"/>
          <w:color w:val="000000"/>
          <w:shd w:val="clear" w:color="auto" w:fill="FFFFFF"/>
        </w:rPr>
        <w:t>London/Gatwick Airp</w:t>
      </w:r>
      <w:r w:rsidR="00B468A0">
        <w:rPr>
          <w:rFonts w:cstheme="minorHAnsi"/>
          <w:color w:val="000000"/>
          <w:shd w:val="clear" w:color="auto" w:fill="FFFFFF"/>
        </w:rPr>
        <w:t xml:space="preserve"> (GB)</w:t>
      </w:r>
    </w:p>
    <w:p w:rsidR="001E7F13" w:rsidRDefault="001E7F13" w:rsidP="004931D7">
      <w:pPr>
        <w:pStyle w:val="Odstavecseseznamem"/>
        <w:numPr>
          <w:ilvl w:val="0"/>
          <w:numId w:val="1"/>
        </w:numPr>
      </w:pPr>
      <w:r w:rsidRPr="001E7F13">
        <w:t>Yalta</w:t>
      </w:r>
      <w:r w:rsidR="00B468A0">
        <w:t xml:space="preserve"> (UA)</w:t>
      </w:r>
    </w:p>
    <w:p w:rsidR="004348DB" w:rsidRDefault="004348DB" w:rsidP="004931D7"/>
    <w:p w:rsidR="00B468A0" w:rsidRDefault="00B468A0" w:rsidP="004931D7">
      <w:pPr>
        <w:jc w:val="both"/>
      </w:pPr>
      <w:r>
        <w:tab/>
      </w:r>
      <w:commentRangeStart w:id="1"/>
      <w:r w:rsidRPr="00B468A0">
        <w:t>Stanice Sniezk</w:t>
      </w:r>
      <w:r w:rsidR="00FB5CF7">
        <w:t>a se nachází v polské části naší</w:t>
      </w:r>
      <w:r w:rsidRPr="00B468A0">
        <w:t xml:space="preserve"> nejvyšší hory Sněžky. Leží v nadmořské výšce asi 1587 m n.</w:t>
      </w:r>
      <w:r w:rsidR="00FB5CF7">
        <w:t xml:space="preserve"> </w:t>
      </w:r>
      <w:r w:rsidRPr="00B468A0">
        <w:t>m. Jedná se proto o horskou stanici, která je nejvýše položenou z mnou vybraných stanic.</w:t>
      </w:r>
      <w:r>
        <w:t xml:space="preserve"> Tato stanice se nachází ve vnitrozemí, proto by se dalo očekávat kontinentální klima. </w:t>
      </w:r>
    </w:p>
    <w:p w:rsidR="00B468A0" w:rsidRDefault="00C455CF" w:rsidP="004931D7">
      <w:pPr>
        <w:jc w:val="both"/>
      </w:pPr>
      <w:r>
        <w:tab/>
      </w:r>
      <w:r w:rsidR="000A6D0A">
        <w:t xml:space="preserve">Stanice London/Gatwick Airport se nachází zhruba 40 km jižně od Londýna. Leží v nadmořské výšce pouze 62 m n. m. </w:t>
      </w:r>
      <w:r w:rsidR="00BC2AA9">
        <w:t xml:space="preserve">Na této stanici se dá očekávat oceánské klima vzhledem k její poloze blízké oceánu. </w:t>
      </w:r>
    </w:p>
    <w:p w:rsidR="000A6D0A" w:rsidRPr="00B468A0" w:rsidRDefault="00C455CF" w:rsidP="004931D7">
      <w:pPr>
        <w:jc w:val="both"/>
      </w:pPr>
      <w:r>
        <w:tab/>
      </w:r>
      <w:r w:rsidR="000A6D0A">
        <w:t xml:space="preserve">Yalta se nachází na Krymu, na severním pobřeží Černého moře. </w:t>
      </w:r>
      <w:r w:rsidR="00BC2AA9">
        <w:t>Leží v nadmořské výšce 72 m n. m. Stejně jako u druhé stanice by se dalo vzhledem k poloze blízko Černému moři očekávat oceánské klima.</w:t>
      </w:r>
    </w:p>
    <w:commentRangeEnd w:id="1"/>
    <w:p w:rsidR="00B468A0" w:rsidRDefault="00563F04" w:rsidP="004931D7">
      <w:pPr>
        <w:autoSpaceDE w:val="0"/>
        <w:autoSpaceDN w:val="0"/>
        <w:adjustRightInd w:val="0"/>
        <w:spacing w:after="0"/>
        <w:rPr>
          <w:rFonts w:ascii="Calibri" w:hAnsi="Calibri" w:cs="Calibri"/>
          <w:sz w:val="17"/>
          <w:szCs w:val="17"/>
        </w:rPr>
      </w:pPr>
      <w:r>
        <w:rPr>
          <w:rStyle w:val="Odkaznakoment"/>
        </w:rPr>
        <w:commentReference w:id="1"/>
      </w:r>
    </w:p>
    <w:p w:rsidR="00947283" w:rsidRDefault="00947283" w:rsidP="004931D7">
      <w:pPr>
        <w:autoSpaceDE w:val="0"/>
        <w:autoSpaceDN w:val="0"/>
        <w:adjustRightInd w:val="0"/>
        <w:spacing w:after="0"/>
        <w:rPr>
          <w:rFonts w:ascii="Calibri" w:hAnsi="Calibri" w:cs="Calibri"/>
          <w:sz w:val="17"/>
          <w:szCs w:val="17"/>
        </w:rPr>
      </w:pPr>
    </w:p>
    <w:p w:rsidR="00947283" w:rsidRDefault="00947283" w:rsidP="004931D7">
      <w:pPr>
        <w:autoSpaceDE w:val="0"/>
        <w:autoSpaceDN w:val="0"/>
        <w:adjustRightInd w:val="0"/>
        <w:spacing w:after="0"/>
        <w:rPr>
          <w:rFonts w:ascii="Calibri" w:hAnsi="Calibri" w:cs="Calibri"/>
          <w:sz w:val="17"/>
          <w:szCs w:val="17"/>
        </w:rPr>
      </w:pPr>
    </w:p>
    <w:p w:rsidR="00DF4F6A" w:rsidRDefault="00DF4F6A" w:rsidP="004931D7">
      <w:r>
        <w:lastRenderedPageBreak/>
        <w:t xml:space="preserve">Tab. 1: Průměrné měsíční teploty [°C] ve vybraných stanicích v období let </w:t>
      </w:r>
      <w:commentRangeStart w:id="2"/>
      <w:r>
        <w:t>1961 – 1990</w:t>
      </w:r>
      <w:commentRangeEnd w:id="2"/>
      <w:r w:rsidR="00727FE9">
        <w:rPr>
          <w:rStyle w:val="Odkaznakoment"/>
        </w:rPr>
        <w:commentReference w:id="2"/>
      </w: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8"/>
        <w:gridCol w:w="532"/>
        <w:gridCol w:w="537"/>
        <w:gridCol w:w="543"/>
        <w:gridCol w:w="599"/>
        <w:gridCol w:w="595"/>
        <w:gridCol w:w="599"/>
        <w:gridCol w:w="604"/>
        <w:gridCol w:w="609"/>
        <w:gridCol w:w="599"/>
        <w:gridCol w:w="594"/>
        <w:gridCol w:w="543"/>
        <w:gridCol w:w="549"/>
        <w:gridCol w:w="571"/>
      </w:tblGrid>
      <w:tr w:rsidR="008D7E57" w:rsidRPr="00F8163C" w:rsidTr="00947283">
        <w:trPr>
          <w:trHeight w:val="488"/>
          <w:jc w:val="center"/>
        </w:trPr>
        <w:tc>
          <w:tcPr>
            <w:tcW w:w="1599" w:type="dxa"/>
            <w:vMerge w:val="restart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Stanice</w:t>
            </w:r>
          </w:p>
        </w:tc>
        <w:tc>
          <w:tcPr>
            <w:tcW w:w="7689" w:type="dxa"/>
            <w:gridSpan w:val="13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Měsíce</w:t>
            </w:r>
          </w:p>
        </w:tc>
      </w:tr>
      <w:tr w:rsidR="00947283" w:rsidRPr="00F8163C" w:rsidTr="00947283">
        <w:trPr>
          <w:trHeight w:val="488"/>
          <w:jc w:val="center"/>
        </w:trPr>
        <w:tc>
          <w:tcPr>
            <w:tcW w:w="1599" w:type="dxa"/>
            <w:vMerge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570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78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612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606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613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620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628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612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605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79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587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sz w:val="20"/>
                <w:szCs w:val="20"/>
              </w:rPr>
              <w:t>XII</w:t>
            </w:r>
          </w:p>
        </w:tc>
        <w:tc>
          <w:tcPr>
            <w:tcW w:w="516" w:type="dxa"/>
            <w:vAlign w:val="center"/>
          </w:tcPr>
          <w:p w:rsidR="008D7E57" w:rsidRPr="00BE089F" w:rsidRDefault="00947283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I-XII</w:t>
            </w:r>
          </w:p>
        </w:tc>
      </w:tr>
      <w:tr w:rsidR="00947283" w:rsidRPr="00F8163C" w:rsidTr="00947283">
        <w:trPr>
          <w:trHeight w:val="488"/>
          <w:jc w:val="center"/>
        </w:trPr>
        <w:tc>
          <w:tcPr>
            <w:tcW w:w="1599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563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-7,0</w:t>
            </w:r>
          </w:p>
        </w:tc>
        <w:tc>
          <w:tcPr>
            <w:tcW w:w="57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-6,8</w:t>
            </w:r>
          </w:p>
        </w:tc>
        <w:tc>
          <w:tcPr>
            <w:tcW w:w="578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-5,0</w:t>
            </w:r>
          </w:p>
        </w:tc>
        <w:tc>
          <w:tcPr>
            <w:tcW w:w="6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-1,4</w:t>
            </w:r>
          </w:p>
        </w:tc>
        <w:tc>
          <w:tcPr>
            <w:tcW w:w="60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</w:t>
            </w:r>
          </w:p>
        </w:tc>
        <w:tc>
          <w:tcPr>
            <w:tcW w:w="613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62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</w:t>
            </w:r>
          </w:p>
        </w:tc>
        <w:tc>
          <w:tcPr>
            <w:tcW w:w="628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8,2</w:t>
            </w:r>
          </w:p>
        </w:tc>
        <w:tc>
          <w:tcPr>
            <w:tcW w:w="6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605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</w:t>
            </w:r>
          </w:p>
        </w:tc>
        <w:tc>
          <w:tcPr>
            <w:tcW w:w="57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-2,8</w:t>
            </w:r>
          </w:p>
        </w:tc>
        <w:tc>
          <w:tcPr>
            <w:tcW w:w="587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-5,6</w:t>
            </w:r>
          </w:p>
        </w:tc>
        <w:tc>
          <w:tcPr>
            <w:tcW w:w="516" w:type="dxa"/>
            <w:vAlign w:val="center"/>
          </w:tcPr>
          <w:p w:rsidR="008D7E57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</w:t>
            </w:r>
          </w:p>
        </w:tc>
      </w:tr>
      <w:tr w:rsidR="00947283" w:rsidRPr="00F8163C" w:rsidTr="00947283">
        <w:trPr>
          <w:trHeight w:val="488"/>
          <w:jc w:val="center"/>
        </w:trPr>
        <w:tc>
          <w:tcPr>
            <w:tcW w:w="1599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563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57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3,8</w:t>
            </w:r>
          </w:p>
        </w:tc>
        <w:tc>
          <w:tcPr>
            <w:tcW w:w="578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5,7</w:t>
            </w:r>
          </w:p>
        </w:tc>
        <w:tc>
          <w:tcPr>
            <w:tcW w:w="6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</w:t>
            </w:r>
          </w:p>
        </w:tc>
        <w:tc>
          <w:tcPr>
            <w:tcW w:w="60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</w:t>
            </w:r>
          </w:p>
        </w:tc>
        <w:tc>
          <w:tcPr>
            <w:tcW w:w="613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14,4</w:t>
            </w:r>
          </w:p>
        </w:tc>
        <w:tc>
          <w:tcPr>
            <w:tcW w:w="62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16,5</w:t>
            </w:r>
          </w:p>
        </w:tc>
        <w:tc>
          <w:tcPr>
            <w:tcW w:w="628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16,1</w:t>
            </w:r>
          </w:p>
        </w:tc>
        <w:tc>
          <w:tcPr>
            <w:tcW w:w="6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13,8</w:t>
            </w:r>
          </w:p>
        </w:tc>
        <w:tc>
          <w:tcPr>
            <w:tcW w:w="605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</w:t>
            </w:r>
          </w:p>
        </w:tc>
        <w:tc>
          <w:tcPr>
            <w:tcW w:w="57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6,4</w:t>
            </w:r>
          </w:p>
        </w:tc>
        <w:tc>
          <w:tcPr>
            <w:tcW w:w="587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</w:t>
            </w:r>
          </w:p>
        </w:tc>
        <w:tc>
          <w:tcPr>
            <w:tcW w:w="516" w:type="dxa"/>
            <w:vAlign w:val="center"/>
          </w:tcPr>
          <w:p w:rsidR="008D7E57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9,6</w:t>
            </w:r>
          </w:p>
        </w:tc>
      </w:tr>
      <w:tr w:rsidR="00947283" w:rsidRPr="00F8163C" w:rsidTr="00947283">
        <w:trPr>
          <w:trHeight w:val="488"/>
          <w:jc w:val="center"/>
        </w:trPr>
        <w:tc>
          <w:tcPr>
            <w:tcW w:w="1599" w:type="dxa"/>
            <w:vAlign w:val="center"/>
          </w:tcPr>
          <w:p w:rsidR="008D7E57" w:rsidRPr="00BE089F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89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563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3,9</w:t>
            </w:r>
          </w:p>
        </w:tc>
        <w:tc>
          <w:tcPr>
            <w:tcW w:w="57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</w:t>
            </w:r>
          </w:p>
        </w:tc>
        <w:tc>
          <w:tcPr>
            <w:tcW w:w="578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6,0</w:t>
            </w:r>
          </w:p>
        </w:tc>
        <w:tc>
          <w:tcPr>
            <w:tcW w:w="6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10,8</w:t>
            </w:r>
          </w:p>
        </w:tc>
        <w:tc>
          <w:tcPr>
            <w:tcW w:w="60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15,6</w:t>
            </w:r>
          </w:p>
        </w:tc>
        <w:tc>
          <w:tcPr>
            <w:tcW w:w="613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20,2</w:t>
            </w:r>
          </w:p>
        </w:tc>
        <w:tc>
          <w:tcPr>
            <w:tcW w:w="62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23,2</w:t>
            </w:r>
          </w:p>
        </w:tc>
        <w:tc>
          <w:tcPr>
            <w:tcW w:w="628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23,0</w:t>
            </w:r>
          </w:p>
        </w:tc>
        <w:tc>
          <w:tcPr>
            <w:tcW w:w="6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19,0</w:t>
            </w:r>
          </w:p>
        </w:tc>
        <w:tc>
          <w:tcPr>
            <w:tcW w:w="605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13,6</w:t>
            </w:r>
          </w:p>
        </w:tc>
        <w:tc>
          <w:tcPr>
            <w:tcW w:w="57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87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16" w:type="dxa"/>
            <w:vAlign w:val="center"/>
          </w:tcPr>
          <w:p w:rsidR="008D7E57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12,9</w:t>
            </w:r>
          </w:p>
        </w:tc>
      </w:tr>
    </w:tbl>
    <w:p w:rsidR="00F8163C" w:rsidRPr="00C455CF" w:rsidRDefault="00442AC5" w:rsidP="004931D7">
      <w:pPr>
        <w:rPr>
          <w:i/>
        </w:rPr>
      </w:pPr>
      <w:r w:rsidRPr="00C455CF">
        <w:rPr>
          <w:i/>
        </w:rPr>
        <w:t>Zdroj: WMO, 1996</w:t>
      </w:r>
    </w:p>
    <w:p w:rsidR="00F8163C" w:rsidRDefault="00F8163C" w:rsidP="004931D7"/>
    <w:p w:rsidR="00F8163C" w:rsidRPr="004E1F16" w:rsidRDefault="00C455CF" w:rsidP="004931D7">
      <w:r>
        <w:t>Tab. 2</w:t>
      </w:r>
      <w:r w:rsidR="00F8163C" w:rsidRPr="004E1F16">
        <w:t>: Průměrné měsíční množství srážek [mm] ve vybraných stanicích v období let 1961 – 1990</w:t>
      </w: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34"/>
        <w:gridCol w:w="506"/>
        <w:gridCol w:w="509"/>
        <w:gridCol w:w="512"/>
        <w:gridCol w:w="604"/>
        <w:gridCol w:w="602"/>
        <w:gridCol w:w="605"/>
        <w:gridCol w:w="607"/>
        <w:gridCol w:w="609"/>
        <w:gridCol w:w="512"/>
        <w:gridCol w:w="510"/>
        <w:gridCol w:w="604"/>
        <w:gridCol w:w="526"/>
        <w:gridCol w:w="632"/>
      </w:tblGrid>
      <w:tr w:rsidR="008D7E57" w:rsidRPr="00F8163C" w:rsidTr="00947283">
        <w:trPr>
          <w:trHeight w:val="500"/>
          <w:jc w:val="center"/>
        </w:trPr>
        <w:tc>
          <w:tcPr>
            <w:tcW w:w="1734" w:type="dxa"/>
            <w:vMerge w:val="restart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Stanice</w:t>
            </w:r>
          </w:p>
        </w:tc>
        <w:tc>
          <w:tcPr>
            <w:tcW w:w="7338" w:type="dxa"/>
            <w:gridSpan w:val="13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Měsíce</w:t>
            </w:r>
          </w:p>
        </w:tc>
      </w:tr>
      <w:tr w:rsidR="008D7E57" w:rsidRPr="00F8163C" w:rsidTr="00947283">
        <w:trPr>
          <w:trHeight w:val="500"/>
          <w:jc w:val="center"/>
        </w:trPr>
        <w:tc>
          <w:tcPr>
            <w:tcW w:w="1734" w:type="dxa"/>
            <w:vMerge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509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12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604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602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605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607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609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512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510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604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526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XII</w:t>
            </w:r>
          </w:p>
        </w:tc>
        <w:tc>
          <w:tcPr>
            <w:tcW w:w="632" w:type="dxa"/>
            <w:vAlign w:val="center"/>
          </w:tcPr>
          <w:p w:rsidR="008D7E57" w:rsidRPr="004E1F16" w:rsidRDefault="00947283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I-XII</w:t>
            </w:r>
          </w:p>
        </w:tc>
      </w:tr>
      <w:tr w:rsidR="008D7E57" w:rsidRPr="00F8163C" w:rsidTr="00947283">
        <w:trPr>
          <w:trHeight w:val="500"/>
          <w:jc w:val="center"/>
        </w:trPr>
        <w:tc>
          <w:tcPr>
            <w:tcW w:w="1734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50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50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5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604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60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605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607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60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5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604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52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632" w:type="dxa"/>
            <w:vAlign w:val="center"/>
          </w:tcPr>
          <w:p w:rsidR="008D7E57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1263</w:t>
            </w:r>
          </w:p>
        </w:tc>
      </w:tr>
      <w:tr w:rsidR="008D7E57" w:rsidRPr="00F8163C" w:rsidTr="00947283">
        <w:trPr>
          <w:trHeight w:val="500"/>
          <w:jc w:val="center"/>
        </w:trPr>
        <w:tc>
          <w:tcPr>
            <w:tcW w:w="1734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50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50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5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604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60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605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607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60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5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604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52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632" w:type="dxa"/>
            <w:vAlign w:val="center"/>
          </w:tcPr>
          <w:p w:rsidR="008D7E57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754</w:t>
            </w:r>
          </w:p>
        </w:tc>
      </w:tr>
      <w:tr w:rsidR="008D7E57" w:rsidRPr="00F8163C" w:rsidTr="00947283">
        <w:trPr>
          <w:trHeight w:val="500"/>
          <w:jc w:val="center"/>
        </w:trPr>
        <w:tc>
          <w:tcPr>
            <w:tcW w:w="1734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50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50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5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604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60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605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607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609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12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10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604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526" w:type="dxa"/>
            <w:vAlign w:val="center"/>
          </w:tcPr>
          <w:p w:rsidR="008D7E57" w:rsidRPr="00F8163C" w:rsidRDefault="008D7E57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632" w:type="dxa"/>
            <w:vAlign w:val="center"/>
          </w:tcPr>
          <w:p w:rsidR="008D7E57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622</w:t>
            </w:r>
          </w:p>
        </w:tc>
      </w:tr>
    </w:tbl>
    <w:p w:rsidR="00442AC5" w:rsidRPr="00C455CF" w:rsidRDefault="00442AC5" w:rsidP="004931D7">
      <w:pPr>
        <w:rPr>
          <w:i/>
        </w:rPr>
      </w:pPr>
      <w:r w:rsidRPr="00C455CF">
        <w:rPr>
          <w:i/>
        </w:rPr>
        <w:t>Zdroj: WMO, 1996</w:t>
      </w:r>
    </w:p>
    <w:p w:rsidR="004931D7" w:rsidRDefault="004931D7" w:rsidP="004931D7"/>
    <w:p w:rsidR="001E7F13" w:rsidRPr="00E06222" w:rsidRDefault="001E7F13" w:rsidP="004931D7">
      <w:pPr>
        <w:rPr>
          <w:b/>
          <w:sz w:val="24"/>
          <w:szCs w:val="24"/>
        </w:rPr>
      </w:pPr>
      <w:r w:rsidRPr="00E06222">
        <w:rPr>
          <w:b/>
          <w:sz w:val="24"/>
          <w:szCs w:val="24"/>
        </w:rPr>
        <w:t xml:space="preserve">1. PLUVIOMETRICKÝ KOEFICIENT </w:t>
      </w:r>
    </w:p>
    <w:p w:rsidR="00B468A0" w:rsidRDefault="00B468A0" w:rsidP="004931D7">
      <w:pPr>
        <w:jc w:val="both"/>
      </w:pPr>
      <w:r>
        <w:tab/>
      </w:r>
      <w:commentRangeStart w:id="3"/>
      <w:r w:rsidR="001E7F13" w:rsidRPr="001E7F13">
        <w:t>Pluviometrický</w:t>
      </w:r>
      <w:commentRangeEnd w:id="3"/>
      <w:r w:rsidR="00727FE9">
        <w:rPr>
          <w:rStyle w:val="Odkaznakoment"/>
        </w:rPr>
        <w:commentReference w:id="3"/>
      </w:r>
      <w:r w:rsidR="001E7F13" w:rsidRPr="001E7F13">
        <w:t xml:space="preserve"> koeficient nám vyjadřuje podíl skutečného úhrnu srážek za určitý měsíc a úhrnu, který by tento měsíc měl při rovnoměrném rozložení srážek během roku (1/12 ročního úhrnu). Slouží k posouzení srážkové vydatnosti jednotlivých měsíců při hodnocení ročního rozdělení srážek. Vzorec pro pluvi</w:t>
      </w:r>
      <w:r>
        <w:t xml:space="preserve">ometrický koeficient je tento: </w:t>
      </w:r>
    </w:p>
    <w:p w:rsidR="00F8163C" w:rsidRPr="00B468A0" w:rsidRDefault="00B108A4" w:rsidP="004931D7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*R</m:t>
              </m:r>
            </m:den>
          </m:f>
        </m:oMath>
      </m:oMathPara>
    </w:p>
    <w:p w:rsidR="00947283" w:rsidRDefault="00947283" w:rsidP="004931D7">
      <w:pPr>
        <w:spacing w:after="100"/>
      </w:pPr>
    </w:p>
    <w:p w:rsidR="001E7F13" w:rsidRPr="001E7F13" w:rsidRDefault="00B468A0" w:rsidP="004931D7">
      <w:pPr>
        <w:spacing w:after="100"/>
      </w:pPr>
      <w:r>
        <w:t>r</w:t>
      </w:r>
      <w:r>
        <w:rPr>
          <w:vertAlign w:val="subscript"/>
        </w:rPr>
        <w:t>i</w:t>
      </w:r>
      <w:r>
        <w:t xml:space="preserve"> … měsíční úhrn srážek i-tého měsí</w:t>
      </w:r>
      <w:r w:rsidR="001E7F13" w:rsidRPr="001E7F13">
        <w:t>ce[mm]</w:t>
      </w:r>
    </w:p>
    <w:p w:rsidR="001E7F13" w:rsidRPr="001E7F13" w:rsidRDefault="00B468A0" w:rsidP="004931D7">
      <w:pPr>
        <w:spacing w:after="100"/>
      </w:pPr>
      <w:r>
        <w:t>R … roční srážkový ú</w:t>
      </w:r>
      <w:r w:rsidR="001E7F13" w:rsidRPr="001E7F13">
        <w:t>hrn[mm]</w:t>
      </w:r>
    </w:p>
    <w:p w:rsidR="001E7F13" w:rsidRPr="001E7F13" w:rsidRDefault="00B468A0" w:rsidP="004931D7">
      <w:pPr>
        <w:spacing w:after="100"/>
      </w:pPr>
      <w:r>
        <w:t>K</w:t>
      </w:r>
      <w:r>
        <w:rPr>
          <w:vertAlign w:val="subscript"/>
        </w:rPr>
        <w:t>p</w:t>
      </w:r>
      <w:r>
        <w:t>&gt; 1 nadprůměrně srážkově vydatný měsí</w:t>
      </w:r>
      <w:r w:rsidR="001E7F13" w:rsidRPr="001E7F13">
        <w:t>c</w:t>
      </w:r>
    </w:p>
    <w:p w:rsidR="001E7F13" w:rsidRDefault="00B468A0" w:rsidP="004931D7">
      <w:pPr>
        <w:spacing w:after="100"/>
      </w:pPr>
      <w:r>
        <w:t>K</w:t>
      </w:r>
      <w:r>
        <w:rPr>
          <w:vertAlign w:val="subscript"/>
        </w:rPr>
        <w:t>p</w:t>
      </w:r>
      <w:r w:rsidR="001E7F13" w:rsidRPr="001E7F13">
        <w:t>&lt; 1 podprůměrně s</w:t>
      </w:r>
      <w:r>
        <w:t>rážkově vydatný</w:t>
      </w:r>
      <w:r w:rsidR="001E7F13" w:rsidRPr="001E7F13">
        <w:t xml:space="preserve"> </w:t>
      </w:r>
      <w:r>
        <w:t>měsí</w:t>
      </w:r>
      <w:r w:rsidR="001E7F13">
        <w:t>c</w:t>
      </w:r>
    </w:p>
    <w:p w:rsidR="004931D7" w:rsidRDefault="004931D7" w:rsidP="004931D7">
      <w:pPr>
        <w:spacing w:after="100"/>
      </w:pPr>
    </w:p>
    <w:p w:rsidR="008D7E57" w:rsidRDefault="00C455CF" w:rsidP="004931D7">
      <w:pPr>
        <w:spacing w:after="100"/>
      </w:pPr>
      <w:r>
        <w:lastRenderedPageBreak/>
        <w:t>Tab. 3: Pluviometrický koeficient vybraných stanic v normálovém období 1961 – 1990</w:t>
      </w:r>
    </w:p>
    <w:tbl>
      <w:tblPr>
        <w:tblStyle w:val="Mkatabulky"/>
        <w:tblW w:w="9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7"/>
        <w:gridCol w:w="601"/>
        <w:gridCol w:w="613"/>
        <w:gridCol w:w="624"/>
        <w:gridCol w:w="629"/>
        <w:gridCol w:w="618"/>
        <w:gridCol w:w="630"/>
        <w:gridCol w:w="640"/>
        <w:gridCol w:w="652"/>
        <w:gridCol w:w="627"/>
        <w:gridCol w:w="615"/>
        <w:gridCol w:w="628"/>
        <w:gridCol w:w="637"/>
      </w:tblGrid>
      <w:tr w:rsidR="004F4EF8" w:rsidRPr="00F8163C" w:rsidTr="005021A2">
        <w:trPr>
          <w:trHeight w:val="494"/>
          <w:jc w:val="center"/>
        </w:trPr>
        <w:tc>
          <w:tcPr>
            <w:tcW w:w="1597" w:type="dxa"/>
            <w:vMerge w:val="restart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Stanice</w:t>
            </w:r>
          </w:p>
        </w:tc>
        <w:tc>
          <w:tcPr>
            <w:tcW w:w="7514" w:type="dxa"/>
            <w:gridSpan w:val="12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Měsíce</w:t>
            </w:r>
          </w:p>
        </w:tc>
      </w:tr>
      <w:tr w:rsidR="004F4EF8" w:rsidRPr="00F8163C" w:rsidTr="008D7E57">
        <w:trPr>
          <w:trHeight w:val="494"/>
          <w:jc w:val="center"/>
        </w:trPr>
        <w:tc>
          <w:tcPr>
            <w:tcW w:w="1597" w:type="dxa"/>
            <w:vMerge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613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624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629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618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640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652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627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615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628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637" w:type="dxa"/>
            <w:vAlign w:val="center"/>
          </w:tcPr>
          <w:p w:rsidR="004F4EF8" w:rsidRPr="004E1F16" w:rsidRDefault="004F4EF8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sz w:val="20"/>
                <w:szCs w:val="20"/>
              </w:rPr>
              <w:t>XII</w:t>
            </w:r>
          </w:p>
        </w:tc>
      </w:tr>
      <w:tr w:rsidR="008D7E57" w:rsidRPr="00F8163C" w:rsidTr="008D7E57">
        <w:trPr>
          <w:trHeight w:val="494"/>
          <w:jc w:val="center"/>
        </w:trPr>
        <w:tc>
          <w:tcPr>
            <w:tcW w:w="1597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601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0,83</w:t>
            </w:r>
          </w:p>
        </w:tc>
        <w:tc>
          <w:tcPr>
            <w:tcW w:w="613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0,86</w:t>
            </w:r>
          </w:p>
        </w:tc>
        <w:tc>
          <w:tcPr>
            <w:tcW w:w="624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0,83</w:t>
            </w:r>
          </w:p>
        </w:tc>
        <w:tc>
          <w:tcPr>
            <w:tcW w:w="629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0,99</w:t>
            </w:r>
          </w:p>
        </w:tc>
        <w:tc>
          <w:tcPr>
            <w:tcW w:w="618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1,17</w:t>
            </w:r>
          </w:p>
        </w:tc>
        <w:tc>
          <w:tcPr>
            <w:tcW w:w="630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1,34</w:t>
            </w:r>
          </w:p>
        </w:tc>
        <w:tc>
          <w:tcPr>
            <w:tcW w:w="640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1,31</w:t>
            </w:r>
          </w:p>
        </w:tc>
        <w:tc>
          <w:tcPr>
            <w:tcW w:w="652" w:type="dxa"/>
            <w:vAlign w:val="center"/>
          </w:tcPr>
          <w:p w:rsidR="008D7E57" w:rsidRPr="00F8163C" w:rsidRDefault="00947283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1,25</w:t>
            </w:r>
          </w:p>
        </w:tc>
        <w:tc>
          <w:tcPr>
            <w:tcW w:w="627" w:type="dxa"/>
            <w:vAlign w:val="center"/>
          </w:tcPr>
          <w:p w:rsidR="008D7E57" w:rsidRPr="00F8163C" w:rsidRDefault="00B87BDD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0,81</w:t>
            </w:r>
          </w:p>
        </w:tc>
        <w:tc>
          <w:tcPr>
            <w:tcW w:w="615" w:type="dxa"/>
            <w:vAlign w:val="center"/>
          </w:tcPr>
          <w:p w:rsidR="008D7E57" w:rsidRPr="00F8163C" w:rsidRDefault="00B87BDD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0,72</w:t>
            </w:r>
          </w:p>
        </w:tc>
        <w:tc>
          <w:tcPr>
            <w:tcW w:w="628" w:type="dxa"/>
            <w:vAlign w:val="center"/>
          </w:tcPr>
          <w:p w:rsidR="008D7E57" w:rsidRPr="00F8163C" w:rsidRDefault="00B87BDD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0,98</w:t>
            </w:r>
          </w:p>
        </w:tc>
        <w:tc>
          <w:tcPr>
            <w:tcW w:w="637" w:type="dxa"/>
            <w:vAlign w:val="center"/>
          </w:tcPr>
          <w:p w:rsidR="008D7E57" w:rsidRPr="00F8163C" w:rsidRDefault="00B87BDD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0,91</w:t>
            </w:r>
          </w:p>
        </w:tc>
      </w:tr>
      <w:tr w:rsidR="008D7E57" w:rsidRPr="00F8163C" w:rsidTr="008D7E57">
        <w:trPr>
          <w:trHeight w:val="494"/>
          <w:jc w:val="center"/>
        </w:trPr>
        <w:tc>
          <w:tcPr>
            <w:tcW w:w="1597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601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1,24</w:t>
            </w:r>
          </w:p>
        </w:tc>
        <w:tc>
          <w:tcPr>
            <w:tcW w:w="613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0,81</w:t>
            </w:r>
          </w:p>
        </w:tc>
        <w:tc>
          <w:tcPr>
            <w:tcW w:w="624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0,97</w:t>
            </w:r>
          </w:p>
        </w:tc>
        <w:tc>
          <w:tcPr>
            <w:tcW w:w="629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0,86</w:t>
            </w:r>
          </w:p>
        </w:tc>
        <w:tc>
          <w:tcPr>
            <w:tcW w:w="618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0,88</w:t>
            </w:r>
          </w:p>
        </w:tc>
        <w:tc>
          <w:tcPr>
            <w:tcW w:w="630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0,91</w:t>
            </w:r>
          </w:p>
        </w:tc>
        <w:tc>
          <w:tcPr>
            <w:tcW w:w="640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0,72</w:t>
            </w:r>
          </w:p>
        </w:tc>
        <w:tc>
          <w:tcPr>
            <w:tcW w:w="652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0,89</w:t>
            </w:r>
          </w:p>
        </w:tc>
        <w:tc>
          <w:tcPr>
            <w:tcW w:w="627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1,08</w:t>
            </w:r>
          </w:p>
        </w:tc>
        <w:tc>
          <w:tcPr>
            <w:tcW w:w="615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1,16</w:t>
            </w:r>
          </w:p>
        </w:tc>
        <w:tc>
          <w:tcPr>
            <w:tcW w:w="628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1,23</w:t>
            </w:r>
          </w:p>
        </w:tc>
        <w:tc>
          <w:tcPr>
            <w:tcW w:w="637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1,26</w:t>
            </w:r>
          </w:p>
        </w:tc>
      </w:tr>
      <w:tr w:rsidR="008D7E57" w:rsidRPr="00F8163C" w:rsidTr="008D7E57">
        <w:trPr>
          <w:trHeight w:val="494"/>
          <w:jc w:val="center"/>
        </w:trPr>
        <w:tc>
          <w:tcPr>
            <w:tcW w:w="1597" w:type="dxa"/>
            <w:vAlign w:val="center"/>
          </w:tcPr>
          <w:p w:rsidR="008D7E57" w:rsidRPr="004E1F16" w:rsidRDefault="008D7E57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1F16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601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1,60</w:t>
            </w:r>
          </w:p>
        </w:tc>
        <w:tc>
          <w:tcPr>
            <w:tcW w:w="613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1,23</w:t>
            </w:r>
          </w:p>
        </w:tc>
        <w:tc>
          <w:tcPr>
            <w:tcW w:w="624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0,87</w:t>
            </w:r>
          </w:p>
        </w:tc>
        <w:tc>
          <w:tcPr>
            <w:tcW w:w="629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0,68</w:t>
            </w:r>
          </w:p>
        </w:tc>
        <w:tc>
          <w:tcPr>
            <w:tcW w:w="618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0,68</w:t>
            </w:r>
          </w:p>
        </w:tc>
        <w:tc>
          <w:tcPr>
            <w:tcW w:w="630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0,87</w:t>
            </w:r>
          </w:p>
        </w:tc>
        <w:tc>
          <w:tcPr>
            <w:tcW w:w="640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0,69</w:t>
            </w:r>
          </w:p>
        </w:tc>
        <w:tc>
          <w:tcPr>
            <w:tcW w:w="652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0,68</w:t>
            </w:r>
          </w:p>
        </w:tc>
        <w:tc>
          <w:tcPr>
            <w:tcW w:w="627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0,83</w:t>
            </w:r>
          </w:p>
        </w:tc>
        <w:tc>
          <w:tcPr>
            <w:tcW w:w="615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0,73</w:t>
            </w:r>
          </w:p>
        </w:tc>
        <w:tc>
          <w:tcPr>
            <w:tcW w:w="628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1,31</w:t>
            </w:r>
          </w:p>
        </w:tc>
        <w:tc>
          <w:tcPr>
            <w:tcW w:w="637" w:type="dxa"/>
            <w:vAlign w:val="center"/>
          </w:tcPr>
          <w:p w:rsidR="008D7E57" w:rsidRPr="00F8163C" w:rsidRDefault="001C4CFB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1,83</w:t>
            </w:r>
          </w:p>
        </w:tc>
      </w:tr>
    </w:tbl>
    <w:p w:rsidR="001E7F13" w:rsidRDefault="001E7F13" w:rsidP="004931D7">
      <w:pPr>
        <w:spacing w:after="100"/>
      </w:pPr>
    </w:p>
    <w:p w:rsidR="00170E95" w:rsidRDefault="00170E95" w:rsidP="004931D7">
      <w:pPr>
        <w:spacing w:after="100"/>
      </w:pPr>
    </w:p>
    <w:p w:rsidR="001C4CFB" w:rsidRDefault="00170E95" w:rsidP="004931D7">
      <w:pPr>
        <w:spacing w:after="100"/>
      </w:pPr>
      <w:r w:rsidRPr="00170E95">
        <w:rPr>
          <w:noProof/>
          <w:lang w:eastAsia="cs-CZ"/>
        </w:rPr>
        <w:drawing>
          <wp:inline distT="0" distB="0" distL="0" distR="0">
            <wp:extent cx="5760720" cy="3390532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7E57" w:rsidRDefault="00C455CF" w:rsidP="004931D7">
      <w:commentRangeStart w:id="4"/>
      <w:r>
        <w:t>Obr. 1</w:t>
      </w:r>
      <w:commentRangeEnd w:id="4"/>
      <w:r w:rsidR="00727FE9">
        <w:rPr>
          <w:rStyle w:val="Odkaznakoment"/>
        </w:rPr>
        <w:commentReference w:id="4"/>
      </w:r>
      <w:r>
        <w:t>: Pluviometrický koeficient na vybraných stanicích v období let 1961 – 1990</w:t>
      </w:r>
    </w:p>
    <w:p w:rsidR="008D7E57" w:rsidRDefault="008D7E57" w:rsidP="004931D7">
      <w:pPr>
        <w:jc w:val="both"/>
      </w:pPr>
    </w:p>
    <w:p w:rsidR="00C455CF" w:rsidRDefault="00C455CF" w:rsidP="004931D7">
      <w:pPr>
        <w:jc w:val="both"/>
      </w:pPr>
      <w:r>
        <w:tab/>
      </w:r>
      <w:commentRangeStart w:id="5"/>
      <w:r>
        <w:t>V grafu můžeme vidět průběh pluviometrického koeficientu na jednotlivých stanicích. Stanice London a Yalta mají podobný průběh, avšak na ukrajinské stanici jsou srážkově vydatnější zimní měsíce.</w:t>
      </w:r>
      <w:r w:rsidR="00690C6D">
        <w:t xml:space="preserve"> Stanice London má 5 nadprůměrných srážkových měsíců, Yalta pouze 4 nadprůměrně srážkové měsíce.</w:t>
      </w:r>
    </w:p>
    <w:p w:rsidR="00C455CF" w:rsidRDefault="00690C6D" w:rsidP="004931D7">
      <w:pPr>
        <w:jc w:val="both"/>
      </w:pPr>
      <w:r>
        <w:tab/>
      </w:r>
      <w:r w:rsidR="00C455CF">
        <w:t xml:space="preserve">V grafu lze dobře vidět rozdíl kontinentální stanice Sniezka, která má výrazně jiný průběh než předchozí dvě. Nadprůměrné srážkové měsíce má od jara zhruba do konce léta. </w:t>
      </w:r>
      <w:r>
        <w:t xml:space="preserve"> Počet nadprůměrných srážkových měsíců je stejný jako u stanice Yalta. Nejvyšší hodnota pluviometrického koeficientu (1,83) je na ukrajinské stanici Yalta v prosinci. Naopak nejnižší hodnota (0,68)je na stejné stanici v dubnu, květnu a srpnu. </w:t>
      </w:r>
    </w:p>
    <w:commentRangeEnd w:id="5"/>
    <w:p w:rsidR="00947283" w:rsidRDefault="00563F04" w:rsidP="004931D7">
      <w:r>
        <w:rPr>
          <w:rStyle w:val="Odkaznakoment"/>
        </w:rPr>
        <w:commentReference w:id="5"/>
      </w:r>
    </w:p>
    <w:p w:rsidR="008D7E57" w:rsidRPr="0087554E" w:rsidRDefault="008D7E57" w:rsidP="004931D7">
      <w:pPr>
        <w:rPr>
          <w:b/>
          <w:sz w:val="24"/>
          <w:szCs w:val="24"/>
        </w:rPr>
      </w:pPr>
      <w:r w:rsidRPr="0087554E">
        <w:rPr>
          <w:b/>
          <w:sz w:val="24"/>
          <w:szCs w:val="24"/>
        </w:rPr>
        <w:lastRenderedPageBreak/>
        <w:t>2. HODNOCENI KONTINENTALITY/OCEANITY KLIMATU</w:t>
      </w:r>
    </w:p>
    <w:p w:rsidR="001E7F13" w:rsidRPr="0087554E" w:rsidRDefault="00170E95" w:rsidP="00493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Index termické</w:t>
      </w:r>
      <w:r w:rsidR="008D7E57" w:rsidRPr="0087554E">
        <w:rPr>
          <w:b/>
          <w:sz w:val="24"/>
          <w:szCs w:val="24"/>
        </w:rPr>
        <w:t xml:space="preserve"> kontinentality</w:t>
      </w:r>
    </w:p>
    <w:p w:rsidR="0087554E" w:rsidRPr="0087554E" w:rsidRDefault="0087554E" w:rsidP="004931D7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(A-12*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φ)</m:t>
              </m:r>
            </m:e>
          </m:func>
        </m:oMath>
      </m:oMathPara>
    </w:p>
    <w:p w:rsidR="0087554E" w:rsidRDefault="0087554E" w:rsidP="004931D7"/>
    <w:p w:rsidR="0087554E" w:rsidRPr="0087554E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 xml:space="preserve">K … termická kontinentalita [%] </w:t>
      </w:r>
    </w:p>
    <w:p w:rsidR="0087554E" w:rsidRPr="0087554E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 xml:space="preserve">φ … zeměpisná šířka </w:t>
      </w:r>
    </w:p>
    <w:p w:rsidR="0087554E" w:rsidRPr="0087554E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>A … průměrná roční amplituda teploty [°C] (absolutní rozdíl nejvyšší a nejnižší průměrné měsíční teploty)</w:t>
      </w:r>
    </w:p>
    <w:p w:rsidR="008D7E57" w:rsidRDefault="008D7E57" w:rsidP="004931D7"/>
    <w:p w:rsidR="00C455CF" w:rsidRDefault="00C455CF" w:rsidP="004931D7">
      <w:r>
        <w:t xml:space="preserve">Tab. 4: Zeměpisné šířky [°] vybraných stanic a vypočtená hodnota termické kontinentality na vybraných </w:t>
      </w:r>
      <w:commentRangeStart w:id="6"/>
      <w:r>
        <w:t>stanicích</w:t>
      </w:r>
      <w:commentRangeEnd w:id="6"/>
      <w:r w:rsidR="00727FE9">
        <w:rPr>
          <w:rStyle w:val="Odkaznakoment"/>
        </w:rPr>
        <w:commentReference w:id="6"/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6"/>
        <w:gridCol w:w="1847"/>
        <w:gridCol w:w="1847"/>
        <w:gridCol w:w="1847"/>
      </w:tblGrid>
      <w:tr w:rsidR="00753885" w:rsidRPr="004F4EF8" w:rsidTr="00275630">
        <w:trPr>
          <w:trHeight w:val="428"/>
        </w:trPr>
        <w:tc>
          <w:tcPr>
            <w:tcW w:w="1846" w:type="dxa"/>
            <w:vAlign w:val="center"/>
          </w:tcPr>
          <w:p w:rsidR="00753885" w:rsidRPr="00275630" w:rsidRDefault="00753885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630">
              <w:rPr>
                <w:b/>
                <w:sz w:val="20"/>
                <w:szCs w:val="20"/>
              </w:rPr>
              <w:t>Stanice</w:t>
            </w:r>
          </w:p>
        </w:tc>
        <w:tc>
          <w:tcPr>
            <w:tcW w:w="1847" w:type="dxa"/>
            <w:vAlign w:val="center"/>
          </w:tcPr>
          <w:p w:rsidR="00753885" w:rsidRPr="00275630" w:rsidRDefault="00753885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630">
              <w:rPr>
                <w:b/>
                <w:sz w:val="20"/>
                <w:szCs w:val="20"/>
              </w:rPr>
              <w:t>Zeměpisná šířka</w:t>
            </w:r>
          </w:p>
        </w:tc>
        <w:tc>
          <w:tcPr>
            <w:tcW w:w="1847" w:type="dxa"/>
            <w:vAlign w:val="center"/>
          </w:tcPr>
          <w:p w:rsidR="00753885" w:rsidRPr="00275630" w:rsidRDefault="00753885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630">
              <w:rPr>
                <w:b/>
                <w:sz w:val="20"/>
                <w:szCs w:val="20"/>
              </w:rPr>
              <w:t>A[°C]</w:t>
            </w:r>
          </w:p>
        </w:tc>
        <w:tc>
          <w:tcPr>
            <w:tcW w:w="1847" w:type="dxa"/>
            <w:vAlign w:val="center"/>
          </w:tcPr>
          <w:p w:rsidR="00753885" w:rsidRPr="00275630" w:rsidRDefault="00753885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5630">
              <w:rPr>
                <w:b/>
                <w:sz w:val="20"/>
                <w:szCs w:val="20"/>
              </w:rPr>
              <w:t>K [%]</w:t>
            </w:r>
          </w:p>
        </w:tc>
      </w:tr>
      <w:tr w:rsidR="00753885" w:rsidRPr="004F4EF8" w:rsidTr="00275630">
        <w:trPr>
          <w:trHeight w:val="428"/>
        </w:trPr>
        <w:tc>
          <w:tcPr>
            <w:tcW w:w="1846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EF8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4EF8">
              <w:rPr>
                <w:sz w:val="20"/>
                <w:szCs w:val="20"/>
              </w:rPr>
              <w:t>50° 44´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</w:tr>
      <w:tr w:rsidR="00753885" w:rsidRPr="004F4EF8" w:rsidTr="00275630">
        <w:trPr>
          <w:trHeight w:val="428"/>
        </w:trPr>
        <w:tc>
          <w:tcPr>
            <w:tcW w:w="1846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EF8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4EF8">
              <w:rPr>
                <w:sz w:val="20"/>
                <w:szCs w:val="20"/>
              </w:rPr>
              <w:t>51° 09´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</w:tr>
      <w:tr w:rsidR="00753885" w:rsidRPr="004F4EF8" w:rsidTr="00275630">
        <w:trPr>
          <w:trHeight w:val="428"/>
        </w:trPr>
        <w:tc>
          <w:tcPr>
            <w:tcW w:w="1846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EF8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4EF8">
              <w:rPr>
                <w:sz w:val="20"/>
                <w:szCs w:val="20"/>
              </w:rPr>
              <w:t>44° 29´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</w:t>
            </w:r>
          </w:p>
        </w:tc>
        <w:tc>
          <w:tcPr>
            <w:tcW w:w="1847" w:type="dxa"/>
            <w:vAlign w:val="center"/>
          </w:tcPr>
          <w:p w:rsidR="00753885" w:rsidRPr="004F4EF8" w:rsidRDefault="00753885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26,42</w:t>
            </w:r>
          </w:p>
        </w:tc>
      </w:tr>
    </w:tbl>
    <w:p w:rsidR="00753885" w:rsidRDefault="00753885" w:rsidP="004931D7"/>
    <w:p w:rsidR="008D7E57" w:rsidRDefault="00753885" w:rsidP="004931D7">
      <w:r>
        <w:t>Dosazení pro stanici Sniezka:</w:t>
      </w:r>
    </w:p>
    <w:p w:rsidR="00753885" w:rsidRDefault="00753885" w:rsidP="004931D7">
      <w:pPr>
        <w:rPr>
          <w:rFonts w:eastAsiaTheme="minorEastAsia"/>
        </w:rPr>
      </w:pPr>
      <m:oMath>
        <m:r>
          <w:rPr>
            <w:rFonts w:ascii="Cambria Math" w:hAnsi="Cambria Math"/>
            <w:sz w:val="24"/>
            <w:szCs w:val="24"/>
          </w:rPr>
          <m:t>K=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50° 44´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(15,2-12*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50° 44´)</m:t>
            </m:r>
          </m:e>
        </m:func>
      </m:oMath>
      <w:r w:rsidRPr="00753885">
        <w:rPr>
          <w:rFonts w:eastAsiaTheme="minorEastAsia"/>
        </w:rPr>
        <w:t>= 12,</w:t>
      </w:r>
      <w:commentRangeStart w:id="7"/>
      <w:r w:rsidRPr="00753885">
        <w:rPr>
          <w:rFonts w:eastAsiaTheme="minorEastAsia"/>
        </w:rPr>
        <w:t>98</w:t>
      </w:r>
      <w:commentRangeEnd w:id="7"/>
      <w:r w:rsidR="00563F04">
        <w:rPr>
          <w:rStyle w:val="Odkaznakoment"/>
        </w:rPr>
        <w:commentReference w:id="7"/>
      </w:r>
      <w:r w:rsidR="00275630">
        <w:rPr>
          <w:rFonts w:eastAsiaTheme="minorEastAsia"/>
        </w:rPr>
        <w:t xml:space="preserve"> %</w:t>
      </w:r>
    </w:p>
    <w:p w:rsidR="00275630" w:rsidRPr="00C37658" w:rsidRDefault="00275630" w:rsidP="004931D7">
      <w:pPr>
        <w:jc w:val="both"/>
        <w:rPr>
          <w:rFonts w:eastAsiaTheme="minorEastAsia"/>
        </w:rPr>
      </w:pPr>
    </w:p>
    <w:p w:rsidR="00275630" w:rsidRPr="00FB5CF7" w:rsidRDefault="00C37658" w:rsidP="004931D7">
      <w:pPr>
        <w:jc w:val="both"/>
      </w:pPr>
      <w:r w:rsidRPr="00C37658">
        <w:rPr>
          <w:rFonts w:eastAsiaTheme="minorEastAsia"/>
        </w:rPr>
        <w:tab/>
      </w:r>
      <w:r w:rsidR="00275630" w:rsidRPr="00C37658">
        <w:rPr>
          <w:rFonts w:eastAsiaTheme="minorEastAsia"/>
        </w:rPr>
        <w:t>Nejvyšší hodnota indexu termické kontinentality vyšla na stanici Yalta a měla hodnotu 26,42%.</w:t>
      </w:r>
      <w:r w:rsidRPr="00C37658">
        <w:rPr>
          <w:rFonts w:eastAsiaTheme="minorEastAsia"/>
        </w:rPr>
        <w:t xml:space="preserve"> </w:t>
      </w:r>
      <w:r w:rsidRPr="00C37658">
        <w:t xml:space="preserve">Čím více se nám hodnota blíží 40 %, tím více je klima kontinentálnější. V daném případě nám vyšla u stanice Yalta překvapivě velká kontinentalita, což je způsobeno velkou průměrnou roční amplitudou, která je na této stanici 19,3 </w:t>
      </w:r>
      <w:r w:rsidRPr="00C37658">
        <w:rPr>
          <w:sz w:val="20"/>
          <w:szCs w:val="20"/>
        </w:rPr>
        <w:t>°</w:t>
      </w:r>
      <w:r w:rsidRPr="00FB5CF7">
        <w:t>C. Podle indexu termické kontinentality bychom museli stanici Yalta označit za kontinentální typ</w:t>
      </w:r>
    </w:p>
    <w:p w:rsidR="00C37658" w:rsidRPr="00FB5CF7" w:rsidRDefault="00C37658" w:rsidP="004931D7">
      <w:pPr>
        <w:jc w:val="both"/>
      </w:pPr>
      <w:r w:rsidRPr="00FB5CF7">
        <w:tab/>
        <w:t xml:space="preserve">U stanice Sniezka nám naopak kontinentalita nižší než bychom očekávali a to 12,98%. Je to způsobeno zřejmě </w:t>
      </w:r>
      <w:commentRangeStart w:id="8"/>
      <w:r w:rsidRPr="00FB5CF7">
        <w:t>menším teplotním rozdílem.</w:t>
      </w:r>
      <w:commentRangeEnd w:id="8"/>
      <w:r w:rsidR="00563F04">
        <w:rPr>
          <w:rStyle w:val="Odkaznakoment"/>
        </w:rPr>
        <w:commentReference w:id="8"/>
      </w:r>
    </w:p>
    <w:p w:rsidR="00C37658" w:rsidRPr="00FB5CF7" w:rsidRDefault="00C37658" w:rsidP="004931D7">
      <w:pPr>
        <w:jc w:val="both"/>
      </w:pPr>
      <w:r w:rsidRPr="00FB5CF7">
        <w:tab/>
        <w:t>Stanice Longon/Gatwick Airp má hodnotu indexu 7,98% a můžeme o ní říci, že má mírný oceánický typ klimatu.</w:t>
      </w:r>
    </w:p>
    <w:p w:rsidR="004F4EF8" w:rsidRDefault="004F4EF8" w:rsidP="004931D7"/>
    <w:p w:rsidR="00753885" w:rsidRDefault="00753885" w:rsidP="004931D7">
      <w:pPr>
        <w:rPr>
          <w:b/>
          <w:sz w:val="24"/>
          <w:szCs w:val="24"/>
        </w:rPr>
      </w:pPr>
    </w:p>
    <w:p w:rsidR="00C37658" w:rsidRDefault="00C37658" w:rsidP="004931D7">
      <w:pPr>
        <w:rPr>
          <w:b/>
          <w:sz w:val="24"/>
          <w:szCs w:val="24"/>
        </w:rPr>
      </w:pPr>
    </w:p>
    <w:p w:rsidR="008D7E57" w:rsidRPr="0087554E" w:rsidRDefault="0087554E" w:rsidP="004931D7">
      <w:pPr>
        <w:rPr>
          <w:b/>
          <w:sz w:val="24"/>
          <w:szCs w:val="24"/>
        </w:rPr>
      </w:pPr>
      <w:r w:rsidRPr="0087554E">
        <w:rPr>
          <w:b/>
          <w:sz w:val="24"/>
          <w:szCs w:val="24"/>
        </w:rPr>
        <w:lastRenderedPageBreak/>
        <w:t>b) Index ombrické kontinentality</w:t>
      </w:r>
    </w:p>
    <w:p w:rsidR="008D7E57" w:rsidRDefault="0087554E" w:rsidP="004931D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k=12(l-35)/</m:t>
          </m:r>
          <m:rad>
            <m:radPr>
              <m:deg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sub>
              </m:sSub>
            </m:e>
          </m:rad>
        </m:oMath>
      </m:oMathPara>
    </w:p>
    <w:p w:rsidR="0087554E" w:rsidRPr="0087554E" w:rsidRDefault="0087554E" w:rsidP="004931D7">
      <w:pPr>
        <w:rPr>
          <w:sz w:val="24"/>
          <w:szCs w:val="24"/>
        </w:rPr>
      </w:pPr>
    </w:p>
    <w:p w:rsidR="0087554E" w:rsidRPr="0087554E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 xml:space="preserve">k … ombrická kontinentalita [%] </w:t>
      </w:r>
    </w:p>
    <w:p w:rsidR="0087554E" w:rsidRPr="0087554E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 xml:space="preserve">l … </w:t>
      </w:r>
      <w:r w:rsidR="004348DB">
        <w:rPr>
          <w:sz w:val="20"/>
          <w:szCs w:val="20"/>
        </w:rPr>
        <w:t xml:space="preserve">srážky teplého pololetí (IV-IX) </w:t>
      </w:r>
      <w:r w:rsidRPr="0087554E">
        <w:rPr>
          <w:sz w:val="20"/>
          <w:szCs w:val="20"/>
        </w:rPr>
        <w:t xml:space="preserve">v % ročního úhrnu </w:t>
      </w:r>
    </w:p>
    <w:p w:rsidR="0087554E" w:rsidRPr="0087554E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>s</w:t>
      </w:r>
      <w:r w:rsidRPr="0087554E">
        <w:rPr>
          <w:sz w:val="20"/>
          <w:szCs w:val="20"/>
          <w:vertAlign w:val="subscript"/>
        </w:rPr>
        <w:t>z</w:t>
      </w:r>
      <w:r w:rsidRPr="0087554E">
        <w:rPr>
          <w:sz w:val="20"/>
          <w:szCs w:val="20"/>
        </w:rPr>
        <w:t xml:space="preserve"> … absolutní množství srážek chladného pololetí (X-III) [mm] </w:t>
      </w:r>
    </w:p>
    <w:p w:rsidR="008D7E57" w:rsidRDefault="0087554E" w:rsidP="004931D7">
      <w:pPr>
        <w:spacing w:after="100"/>
        <w:rPr>
          <w:sz w:val="20"/>
          <w:szCs w:val="20"/>
        </w:rPr>
      </w:pPr>
      <w:r w:rsidRPr="0087554E">
        <w:rPr>
          <w:sz w:val="20"/>
          <w:szCs w:val="20"/>
        </w:rPr>
        <w:t>s</w:t>
      </w:r>
      <w:r w:rsidRPr="0087554E">
        <w:rPr>
          <w:sz w:val="20"/>
          <w:szCs w:val="20"/>
          <w:vertAlign w:val="subscript"/>
        </w:rPr>
        <w:t>r</w:t>
      </w:r>
      <w:r w:rsidRPr="0087554E">
        <w:rPr>
          <w:sz w:val="20"/>
          <w:szCs w:val="20"/>
        </w:rPr>
        <w:t xml:space="preserve"> … roční úhrn srážek [mm]</w:t>
      </w:r>
    </w:p>
    <w:p w:rsidR="00753885" w:rsidRDefault="00753885" w:rsidP="004931D7">
      <w:pPr>
        <w:spacing w:after="100"/>
        <w:rPr>
          <w:sz w:val="20"/>
          <w:szCs w:val="20"/>
        </w:rPr>
      </w:pPr>
    </w:p>
    <w:p w:rsidR="00C455CF" w:rsidRDefault="00C455CF" w:rsidP="004931D7">
      <w:pPr>
        <w:spacing w:after="100"/>
        <w:rPr>
          <w:sz w:val="20"/>
          <w:szCs w:val="20"/>
        </w:rPr>
      </w:pPr>
      <w:r>
        <w:t xml:space="preserve">Tab. 5: Vypočtená hodnota ombrického indexu na vybraných </w:t>
      </w:r>
      <w:commentRangeStart w:id="9"/>
      <w:r>
        <w:t>stanicích</w:t>
      </w:r>
      <w:commentRangeEnd w:id="9"/>
      <w:r w:rsidR="00727FE9">
        <w:rPr>
          <w:rStyle w:val="Odkaznakoment"/>
        </w:rPr>
        <w:commentReference w:id="9"/>
      </w:r>
    </w:p>
    <w:tbl>
      <w:tblPr>
        <w:tblStyle w:val="Mkatabulky"/>
        <w:tblW w:w="9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19"/>
        <w:gridCol w:w="1593"/>
        <w:gridCol w:w="1589"/>
        <w:gridCol w:w="1543"/>
        <w:gridCol w:w="1590"/>
        <w:gridCol w:w="1474"/>
      </w:tblGrid>
      <w:tr w:rsidR="007D5752" w:rsidRPr="007D5752" w:rsidTr="004348DB">
        <w:trPr>
          <w:trHeight w:val="495"/>
        </w:trPr>
        <w:tc>
          <w:tcPr>
            <w:tcW w:w="1619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b/>
                <w:sz w:val="20"/>
                <w:szCs w:val="20"/>
              </w:rPr>
            </w:pPr>
            <w:commentRangeStart w:id="10"/>
            <w:r w:rsidRPr="007D5752">
              <w:rPr>
                <w:b/>
                <w:sz w:val="20"/>
                <w:szCs w:val="20"/>
              </w:rPr>
              <w:t>Stanice</w:t>
            </w:r>
            <w:commentRangeEnd w:id="10"/>
            <w:r w:rsidR="00727FE9">
              <w:rPr>
                <w:rStyle w:val="Odkaznakoment"/>
              </w:rPr>
              <w:commentReference w:id="10"/>
            </w:r>
          </w:p>
        </w:tc>
        <w:tc>
          <w:tcPr>
            <w:tcW w:w="159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b/>
                <w:sz w:val="20"/>
                <w:szCs w:val="20"/>
              </w:rPr>
            </w:pPr>
            <w:r w:rsidRPr="007D5752">
              <w:rPr>
                <w:b/>
                <w:sz w:val="20"/>
                <w:szCs w:val="20"/>
              </w:rPr>
              <w:t>Σs</w:t>
            </w:r>
            <w:r w:rsidR="004348DB">
              <w:rPr>
                <w:b/>
                <w:sz w:val="20"/>
                <w:szCs w:val="20"/>
              </w:rPr>
              <w:t xml:space="preserve"> </w:t>
            </w:r>
            <w:r w:rsidRPr="007D5752">
              <w:rPr>
                <w:b/>
                <w:sz w:val="20"/>
                <w:szCs w:val="20"/>
              </w:rPr>
              <w:t>(IV-IX) [mm]</w:t>
            </w:r>
          </w:p>
        </w:tc>
        <w:tc>
          <w:tcPr>
            <w:tcW w:w="1589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b/>
                <w:sz w:val="20"/>
                <w:szCs w:val="20"/>
              </w:rPr>
            </w:pPr>
            <w:r w:rsidRPr="007D5752">
              <w:rPr>
                <w:b/>
                <w:sz w:val="20"/>
                <w:szCs w:val="20"/>
              </w:rPr>
              <w:t>Sr [mm]</w:t>
            </w:r>
          </w:p>
        </w:tc>
        <w:tc>
          <w:tcPr>
            <w:tcW w:w="154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b/>
                <w:sz w:val="20"/>
                <w:szCs w:val="20"/>
              </w:rPr>
            </w:pPr>
            <w:r w:rsidRPr="007D5752">
              <w:rPr>
                <w:b/>
                <w:sz w:val="20"/>
                <w:szCs w:val="20"/>
              </w:rPr>
              <w:t>l [%]</w:t>
            </w:r>
          </w:p>
        </w:tc>
        <w:tc>
          <w:tcPr>
            <w:tcW w:w="1590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b/>
                <w:sz w:val="20"/>
                <w:szCs w:val="20"/>
              </w:rPr>
            </w:pPr>
            <w:r w:rsidRPr="007D5752">
              <w:rPr>
                <w:b/>
                <w:sz w:val="20"/>
                <w:szCs w:val="20"/>
              </w:rPr>
              <w:t>Sz [mm]</w:t>
            </w:r>
          </w:p>
        </w:tc>
        <w:tc>
          <w:tcPr>
            <w:tcW w:w="1474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b/>
                <w:sz w:val="20"/>
                <w:szCs w:val="20"/>
              </w:rPr>
            </w:pPr>
            <w:r w:rsidRPr="007D5752">
              <w:rPr>
                <w:b/>
                <w:sz w:val="20"/>
                <w:szCs w:val="20"/>
              </w:rPr>
              <w:t>K [%]</w:t>
            </w:r>
          </w:p>
        </w:tc>
      </w:tr>
      <w:tr w:rsidR="007D5752" w:rsidRPr="007D5752" w:rsidTr="004348DB">
        <w:trPr>
          <w:trHeight w:val="495"/>
        </w:trPr>
        <w:tc>
          <w:tcPr>
            <w:tcW w:w="1619" w:type="dxa"/>
            <w:vAlign w:val="center"/>
          </w:tcPr>
          <w:p w:rsidR="007D5752" w:rsidRPr="004F4EF8" w:rsidRDefault="007D5752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EF8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159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1589" w:type="dxa"/>
            <w:vAlign w:val="center"/>
          </w:tcPr>
          <w:p w:rsidR="007D5752" w:rsidRDefault="007D5752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1263</w:t>
            </w:r>
          </w:p>
        </w:tc>
        <w:tc>
          <w:tcPr>
            <w:tcW w:w="154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57,24</w:t>
            </w:r>
          </w:p>
        </w:tc>
        <w:tc>
          <w:tcPr>
            <w:tcW w:w="1590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74" w:type="dxa"/>
            <w:vAlign w:val="center"/>
          </w:tcPr>
          <w:p w:rsidR="007D5752" w:rsidRPr="007D5752" w:rsidRDefault="00EC1664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</w:tr>
      <w:tr w:rsidR="007D5752" w:rsidRPr="007D5752" w:rsidTr="004348DB">
        <w:trPr>
          <w:trHeight w:val="495"/>
        </w:trPr>
        <w:tc>
          <w:tcPr>
            <w:tcW w:w="1619" w:type="dxa"/>
            <w:vAlign w:val="center"/>
          </w:tcPr>
          <w:p w:rsidR="007D5752" w:rsidRPr="004F4EF8" w:rsidRDefault="007D5752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EF8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159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589" w:type="dxa"/>
            <w:vAlign w:val="center"/>
          </w:tcPr>
          <w:p w:rsidR="007D5752" w:rsidRDefault="007D5752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754</w:t>
            </w:r>
          </w:p>
        </w:tc>
        <w:tc>
          <w:tcPr>
            <w:tcW w:w="154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44,43</w:t>
            </w:r>
          </w:p>
        </w:tc>
        <w:tc>
          <w:tcPr>
            <w:tcW w:w="1590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474" w:type="dxa"/>
            <w:vAlign w:val="center"/>
          </w:tcPr>
          <w:p w:rsidR="007D5752" w:rsidRPr="007D5752" w:rsidRDefault="00EC1664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</w:tr>
      <w:tr w:rsidR="007D5752" w:rsidRPr="007D5752" w:rsidTr="004348DB">
        <w:trPr>
          <w:trHeight w:val="495"/>
        </w:trPr>
        <w:tc>
          <w:tcPr>
            <w:tcW w:w="1619" w:type="dxa"/>
            <w:vAlign w:val="center"/>
          </w:tcPr>
          <w:p w:rsidR="007D5752" w:rsidRPr="004F4EF8" w:rsidRDefault="007D5752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EF8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159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589" w:type="dxa"/>
            <w:vAlign w:val="center"/>
          </w:tcPr>
          <w:p w:rsidR="007D5752" w:rsidRDefault="007D5752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622</w:t>
            </w:r>
          </w:p>
        </w:tc>
        <w:tc>
          <w:tcPr>
            <w:tcW w:w="1543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36,82</w:t>
            </w:r>
          </w:p>
        </w:tc>
        <w:tc>
          <w:tcPr>
            <w:tcW w:w="1590" w:type="dxa"/>
            <w:vAlign w:val="center"/>
          </w:tcPr>
          <w:p w:rsidR="007D5752" w:rsidRPr="007D5752" w:rsidRDefault="007D5752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474" w:type="dxa"/>
            <w:vAlign w:val="center"/>
          </w:tcPr>
          <w:p w:rsidR="007D5752" w:rsidRPr="007D5752" w:rsidRDefault="00EC1664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</w:tr>
    </w:tbl>
    <w:p w:rsidR="00753885" w:rsidRDefault="00753885" w:rsidP="004931D7">
      <w:pPr>
        <w:spacing w:after="100"/>
        <w:rPr>
          <w:sz w:val="20"/>
          <w:szCs w:val="20"/>
        </w:rPr>
      </w:pPr>
    </w:p>
    <w:p w:rsidR="00EC1664" w:rsidRDefault="00EC1664" w:rsidP="004931D7">
      <w:r>
        <w:t>Dosazení pro stanici Sniezka:</w:t>
      </w:r>
    </w:p>
    <w:p w:rsidR="00EC1664" w:rsidRDefault="00EC1664" w:rsidP="004931D7"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k=12(57,24-35)/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540</m:t>
            </m:r>
          </m:e>
        </m:rad>
      </m:oMath>
      <w:r>
        <w:rPr>
          <w:rFonts w:eastAsiaTheme="minorEastAsia"/>
          <w:sz w:val="24"/>
          <w:szCs w:val="24"/>
        </w:rPr>
        <w:t xml:space="preserve"> = 11,</w:t>
      </w:r>
      <w:commentRangeStart w:id="11"/>
      <w:r>
        <w:rPr>
          <w:rFonts w:eastAsiaTheme="minorEastAsia"/>
          <w:sz w:val="24"/>
          <w:szCs w:val="24"/>
        </w:rPr>
        <w:t>48</w:t>
      </w:r>
      <w:commentRangeEnd w:id="11"/>
      <w:r w:rsidR="00563F04">
        <w:rPr>
          <w:rStyle w:val="Odkaznakoment"/>
        </w:rPr>
        <w:commentReference w:id="11"/>
      </w:r>
    </w:p>
    <w:p w:rsidR="00753885" w:rsidRDefault="00753885" w:rsidP="004931D7">
      <w:pPr>
        <w:spacing w:after="100"/>
        <w:rPr>
          <w:sz w:val="20"/>
          <w:szCs w:val="20"/>
        </w:rPr>
      </w:pPr>
    </w:p>
    <w:p w:rsidR="00753885" w:rsidRDefault="00753885" w:rsidP="004931D7">
      <w:pPr>
        <w:spacing w:after="100"/>
        <w:rPr>
          <w:sz w:val="20"/>
          <w:szCs w:val="20"/>
        </w:rPr>
      </w:pPr>
    </w:p>
    <w:p w:rsidR="0030517D" w:rsidRPr="00DE4B5D" w:rsidRDefault="0030517D" w:rsidP="004931D7">
      <w:pPr>
        <w:spacing w:after="100"/>
        <w:jc w:val="both"/>
      </w:pPr>
      <w:r>
        <w:rPr>
          <w:sz w:val="20"/>
          <w:szCs w:val="20"/>
        </w:rPr>
        <w:tab/>
      </w:r>
      <w:r w:rsidRPr="00DE4B5D">
        <w:t xml:space="preserve">Hodnoty ombrické kontinentality se od termické opravdu hodně liší, ale více odpovídají </w:t>
      </w:r>
      <w:commentRangeStart w:id="12"/>
      <w:r w:rsidRPr="00DE4B5D">
        <w:t>daným předpokladům</w:t>
      </w:r>
      <w:commentRangeEnd w:id="12"/>
      <w:r w:rsidR="00BA4CBF">
        <w:rPr>
          <w:rStyle w:val="Odkaznakoment"/>
        </w:rPr>
        <w:commentReference w:id="12"/>
      </w:r>
      <w:r w:rsidRPr="00DE4B5D">
        <w:t xml:space="preserve">. V tomto případě opět platí, že čím se index blíží 40%, tím je klima více kontinentální. U ombrického indexu jsou nejnižší hodnoty </w:t>
      </w:r>
      <w:commentRangeStart w:id="13"/>
      <w:r w:rsidRPr="00DE4B5D">
        <w:t xml:space="preserve">u stanic Yalta </w:t>
      </w:r>
      <w:commentRangeEnd w:id="13"/>
      <w:r w:rsidR="00BA4CBF">
        <w:rPr>
          <w:rStyle w:val="Odkaznakoment"/>
        </w:rPr>
        <w:commentReference w:id="13"/>
      </w:r>
      <w:r w:rsidRPr="00DE4B5D">
        <w:t xml:space="preserve">a London (1,10 </w:t>
      </w:r>
      <w:r w:rsidR="00DE4B5D" w:rsidRPr="00DE4B5D">
        <w:t xml:space="preserve">% </w:t>
      </w:r>
      <w:r w:rsidRPr="00DE4B5D">
        <w:t>a 5,53</w:t>
      </w:r>
      <w:r w:rsidR="00DE4B5D" w:rsidRPr="00DE4B5D">
        <w:t>%</w:t>
      </w:r>
      <w:r w:rsidRPr="00DE4B5D">
        <w:t>)</w:t>
      </w:r>
      <w:r w:rsidR="00DE4B5D" w:rsidRPr="00DE4B5D">
        <w:t>. Tyto hodnoty indikují oceánský typ klimatu u těchto stanic.</w:t>
      </w:r>
    </w:p>
    <w:p w:rsidR="008D7E57" w:rsidRDefault="00DE4B5D" w:rsidP="004931D7">
      <w:pPr>
        <w:jc w:val="both"/>
      </w:pPr>
      <w:r w:rsidRPr="00DE4B5D">
        <w:tab/>
      </w:r>
      <w:r w:rsidR="00FB5CF7">
        <w:t>Stanice</w:t>
      </w:r>
      <w:r w:rsidRPr="00DE4B5D">
        <w:t xml:space="preserve"> Sněžka má opět poměrně nízkou hodnotu (11,48 %). Je to způsobeno především poměrně vydatnými srážkami během celého roku, které jsou větší než u zbylých dvou stanic.</w:t>
      </w:r>
      <w:r w:rsidR="0030517D">
        <w:tab/>
      </w:r>
    </w:p>
    <w:p w:rsidR="00EC1664" w:rsidRDefault="00EC1664" w:rsidP="004931D7">
      <w:pPr>
        <w:rPr>
          <w:b/>
          <w:sz w:val="24"/>
          <w:szCs w:val="24"/>
        </w:rPr>
      </w:pPr>
    </w:p>
    <w:p w:rsidR="00EC1664" w:rsidRDefault="00EC1664" w:rsidP="004931D7">
      <w:pPr>
        <w:rPr>
          <w:b/>
          <w:sz w:val="24"/>
          <w:szCs w:val="24"/>
        </w:rPr>
      </w:pPr>
    </w:p>
    <w:p w:rsidR="00EC1664" w:rsidRDefault="00EC1664" w:rsidP="004931D7">
      <w:pPr>
        <w:rPr>
          <w:b/>
          <w:sz w:val="24"/>
          <w:szCs w:val="24"/>
        </w:rPr>
      </w:pPr>
    </w:p>
    <w:p w:rsidR="00EC1664" w:rsidRDefault="00EC1664" w:rsidP="004931D7">
      <w:pPr>
        <w:rPr>
          <w:b/>
          <w:sz w:val="24"/>
          <w:szCs w:val="24"/>
        </w:rPr>
      </w:pPr>
    </w:p>
    <w:p w:rsidR="00EC1664" w:rsidRDefault="00EC1664" w:rsidP="004931D7">
      <w:pPr>
        <w:rPr>
          <w:b/>
          <w:sz w:val="24"/>
          <w:szCs w:val="24"/>
        </w:rPr>
      </w:pPr>
    </w:p>
    <w:p w:rsidR="00EC1664" w:rsidRDefault="00EC1664" w:rsidP="004931D7">
      <w:pPr>
        <w:rPr>
          <w:b/>
          <w:sz w:val="24"/>
          <w:szCs w:val="24"/>
        </w:rPr>
      </w:pPr>
    </w:p>
    <w:p w:rsidR="0087554E" w:rsidRPr="0087554E" w:rsidRDefault="0087554E" w:rsidP="004931D7">
      <w:pPr>
        <w:rPr>
          <w:b/>
          <w:sz w:val="24"/>
          <w:szCs w:val="24"/>
        </w:rPr>
      </w:pPr>
      <w:r w:rsidRPr="0087554E">
        <w:rPr>
          <w:b/>
          <w:sz w:val="24"/>
          <w:szCs w:val="24"/>
        </w:rPr>
        <w:lastRenderedPageBreak/>
        <w:t>c) Doba polovičních srážek (srážkový poločas)</w:t>
      </w:r>
    </w:p>
    <w:p w:rsidR="0087554E" w:rsidRDefault="00265D67" w:rsidP="004931D7">
      <w:pPr>
        <w:jc w:val="both"/>
      </w:pPr>
      <w:r>
        <w:tab/>
        <w:t xml:space="preserve">Doba polovičních srážek je </w:t>
      </w:r>
      <w:r w:rsidR="0087554E">
        <w:t xml:space="preserve">doba v měsících, za kterou spadne polovina ročního úhrnu srážek, počítáno od 1. 4. </w:t>
      </w:r>
      <w:r>
        <w:t xml:space="preserve">Lze </w:t>
      </w:r>
      <w:r w:rsidR="0087554E">
        <w:t xml:space="preserve">ji využít k </w:t>
      </w:r>
      <w:commentRangeStart w:id="14"/>
      <w:r w:rsidR="0087554E">
        <w:t xml:space="preserve">charakteristice ombrické kontinentality </w:t>
      </w:r>
      <w:commentRangeEnd w:id="14"/>
      <w:r w:rsidR="00BA4CBF">
        <w:rPr>
          <w:rStyle w:val="Odkaznakoment"/>
        </w:rPr>
        <w:commentReference w:id="14"/>
      </w:r>
      <w:r w:rsidR="0087554E">
        <w:t>– s rostoucí kontinentalitou se doba polovičních srážek zkracuje (v kontinentálních oblastech se zkracuje asi na 3 m</w:t>
      </w:r>
      <w:r w:rsidR="00EC1664">
        <w:t>ěsíce, v oblastech silně oceá</w:t>
      </w:r>
      <w:r w:rsidR="0087554E">
        <w:t>nických přesahuje 7,0)</w:t>
      </w:r>
      <w:r>
        <w:t>.</w:t>
      </w:r>
    </w:p>
    <w:p w:rsidR="00265D67" w:rsidRDefault="00265D67" w:rsidP="004931D7">
      <w:pPr>
        <w:jc w:val="both"/>
      </w:pPr>
    </w:p>
    <w:p w:rsidR="00265D67" w:rsidRDefault="00C455CF" w:rsidP="004931D7">
      <w:pPr>
        <w:jc w:val="both"/>
      </w:pPr>
      <w:r>
        <w:t>Tab. 6</w:t>
      </w:r>
      <w:r w:rsidR="00265D67">
        <w:t>:</w:t>
      </w:r>
      <w:r w:rsidR="00265D67" w:rsidRPr="00265D67">
        <w:t xml:space="preserve"> </w:t>
      </w:r>
      <w:r w:rsidR="00265D67">
        <w:t>Hodnoty ročních srážek, polovičních ročních srážek a doba jejich naplnění od 1. dubna na vybraných stanicích v období let 1961-1990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18"/>
        <w:gridCol w:w="2118"/>
        <w:gridCol w:w="2118"/>
        <w:gridCol w:w="2118"/>
      </w:tblGrid>
      <w:tr w:rsidR="00EC1664" w:rsidRPr="001D79CF" w:rsidTr="00265D67">
        <w:trPr>
          <w:trHeight w:val="351"/>
        </w:trPr>
        <w:tc>
          <w:tcPr>
            <w:tcW w:w="2118" w:type="dxa"/>
            <w:vAlign w:val="center"/>
          </w:tcPr>
          <w:p w:rsidR="00EC1664" w:rsidRPr="001D79CF" w:rsidRDefault="00EC1664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79CF">
              <w:rPr>
                <w:b/>
                <w:sz w:val="20"/>
                <w:szCs w:val="20"/>
              </w:rPr>
              <w:t>Stanice</w:t>
            </w:r>
          </w:p>
        </w:tc>
        <w:tc>
          <w:tcPr>
            <w:tcW w:w="2118" w:type="dxa"/>
            <w:vAlign w:val="center"/>
          </w:tcPr>
          <w:p w:rsidR="00EC1664" w:rsidRPr="001D79CF" w:rsidRDefault="00EC1664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79CF">
              <w:rPr>
                <w:b/>
                <w:sz w:val="20"/>
                <w:szCs w:val="20"/>
              </w:rPr>
              <w:t>s</w:t>
            </w:r>
            <w:r w:rsidRPr="001D79CF">
              <w:rPr>
                <w:b/>
                <w:sz w:val="20"/>
                <w:szCs w:val="20"/>
                <w:vertAlign w:val="subscript"/>
              </w:rPr>
              <w:t>r</w:t>
            </w:r>
            <w:r w:rsidRPr="001D79CF">
              <w:rPr>
                <w:b/>
                <w:sz w:val="20"/>
                <w:szCs w:val="20"/>
              </w:rPr>
              <w:t xml:space="preserve"> [mm]</w:t>
            </w:r>
          </w:p>
        </w:tc>
        <w:tc>
          <w:tcPr>
            <w:tcW w:w="2118" w:type="dxa"/>
            <w:vAlign w:val="center"/>
          </w:tcPr>
          <w:p w:rsidR="00EC1664" w:rsidRPr="001D79CF" w:rsidRDefault="00EC1664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79CF">
              <w:rPr>
                <w:b/>
                <w:sz w:val="20"/>
                <w:szCs w:val="20"/>
              </w:rPr>
              <w:t>s</w:t>
            </w:r>
            <w:r w:rsidRPr="001D79CF">
              <w:rPr>
                <w:b/>
                <w:sz w:val="20"/>
                <w:szCs w:val="20"/>
                <w:vertAlign w:val="subscript"/>
              </w:rPr>
              <w:t>n</w:t>
            </w:r>
            <w:r w:rsidRPr="001D79CF">
              <w:rPr>
                <w:b/>
                <w:sz w:val="20"/>
                <w:szCs w:val="20"/>
              </w:rPr>
              <w:t>[mm]</w:t>
            </w:r>
          </w:p>
        </w:tc>
        <w:tc>
          <w:tcPr>
            <w:tcW w:w="2118" w:type="dxa"/>
            <w:vAlign w:val="center"/>
          </w:tcPr>
          <w:p w:rsidR="00EC1664" w:rsidRPr="001D79CF" w:rsidRDefault="00EC1664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79CF">
              <w:rPr>
                <w:b/>
                <w:sz w:val="20"/>
                <w:szCs w:val="20"/>
              </w:rPr>
              <w:t>Počet měsíců</w:t>
            </w:r>
          </w:p>
        </w:tc>
      </w:tr>
      <w:tr w:rsidR="009F49BC" w:rsidRPr="001D79CF" w:rsidTr="00265D67">
        <w:trPr>
          <w:trHeight w:val="351"/>
        </w:trPr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79C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79CF">
              <w:rPr>
                <w:rFonts w:cstheme="minorHAnsi"/>
                <w:sz w:val="20"/>
                <w:szCs w:val="20"/>
              </w:rPr>
              <w:t>1263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631,5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4,95</w:t>
            </w:r>
          </w:p>
        </w:tc>
      </w:tr>
      <w:tr w:rsidR="009F49BC" w:rsidRPr="001D79CF" w:rsidTr="00265D67">
        <w:trPr>
          <w:trHeight w:val="351"/>
        </w:trPr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79C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79CF">
              <w:rPr>
                <w:rFonts w:cstheme="minorHAnsi"/>
                <w:sz w:val="20"/>
                <w:szCs w:val="20"/>
              </w:rPr>
              <w:t>754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377</w:t>
            </w:r>
            <w:r w:rsidR="001D79CF">
              <w:rPr>
                <w:sz w:val="20"/>
                <w:szCs w:val="20"/>
              </w:rPr>
              <w:t>,0</w:t>
            </w:r>
          </w:p>
        </w:tc>
        <w:tc>
          <w:tcPr>
            <w:tcW w:w="2118" w:type="dxa"/>
            <w:vAlign w:val="center"/>
          </w:tcPr>
          <w:p w:rsidR="009F49BC" w:rsidRPr="001D79CF" w:rsidRDefault="001D79CF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6,58</w:t>
            </w:r>
          </w:p>
        </w:tc>
      </w:tr>
      <w:tr w:rsidR="009F49BC" w:rsidRPr="001D79CF" w:rsidTr="00265D67">
        <w:trPr>
          <w:trHeight w:val="373"/>
        </w:trPr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79C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79CF">
              <w:rPr>
                <w:rFonts w:cstheme="minorHAnsi"/>
                <w:sz w:val="20"/>
                <w:szCs w:val="20"/>
              </w:rPr>
              <w:t>622</w:t>
            </w:r>
          </w:p>
        </w:tc>
        <w:tc>
          <w:tcPr>
            <w:tcW w:w="2118" w:type="dxa"/>
            <w:vAlign w:val="center"/>
          </w:tcPr>
          <w:p w:rsidR="009F49BC" w:rsidRPr="001D79CF" w:rsidRDefault="009F49BC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311</w:t>
            </w:r>
            <w:r w:rsidR="001D79CF">
              <w:rPr>
                <w:sz w:val="20"/>
                <w:szCs w:val="20"/>
              </w:rPr>
              <w:t>,0</w:t>
            </w:r>
          </w:p>
        </w:tc>
        <w:tc>
          <w:tcPr>
            <w:tcW w:w="2118" w:type="dxa"/>
            <w:vAlign w:val="center"/>
          </w:tcPr>
          <w:p w:rsidR="009F49BC" w:rsidRPr="001D79CF" w:rsidRDefault="00542D89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</w:tbl>
    <w:p w:rsidR="00E06222" w:rsidRDefault="00E06222" w:rsidP="004931D7"/>
    <w:p w:rsidR="004931D7" w:rsidRDefault="004931D7" w:rsidP="004931D7"/>
    <w:p w:rsidR="00EC1664" w:rsidRDefault="009F49BC" w:rsidP="004931D7">
      <w:pPr>
        <w:jc w:val="both"/>
      </w:pPr>
      <w:r>
        <w:t>Dosazení pro stanici Sniezka:</w:t>
      </w:r>
    </w:p>
    <w:p w:rsidR="009F49BC" w:rsidRDefault="001D79CF" w:rsidP="004931D7">
      <w:pPr>
        <w:jc w:val="both"/>
      </w:pPr>
      <w:r>
        <w:tab/>
      </w:r>
      <w:r w:rsidR="009F49BC">
        <w:t xml:space="preserve">Roční úhrn </w:t>
      </w:r>
      <w:r>
        <w:t xml:space="preserve">srážek </w:t>
      </w:r>
      <w:r w:rsidR="009F49BC">
        <w:t>je 1263 mm, polovina je 631,5 mm: 104+123+141+138= 4 celé měsíce, do dosažení poloviny srážek zbývá 125,5 mm, což představuje 0,95 měsíčního úhrnu dalšího měsíce (předpokládá se rovnoměrné rozložení srážek během měsíce) =&gt; doba polovičních srážek je 4,95 měsíce</w:t>
      </w:r>
    </w:p>
    <w:p w:rsidR="009F49BC" w:rsidRDefault="001D79CF" w:rsidP="004931D7">
      <w:pPr>
        <w:jc w:val="both"/>
      </w:pPr>
      <w:r w:rsidRPr="001D79CF">
        <w:t>Dosazení pro stanici London/Gatwick Airp</w:t>
      </w:r>
    </w:p>
    <w:p w:rsidR="001D79CF" w:rsidRDefault="001D79CF" w:rsidP="004931D7">
      <w:pPr>
        <w:jc w:val="both"/>
      </w:pPr>
      <w:r>
        <w:tab/>
        <w:t>Roční úhrn srážek je 754 mm, polovina je 377 mm:54+55+57+45+56+68= 6 celých měsíců, do dosažení poloviny srážek zbývá 42 mm, což představuje 0,58 měsíčního úhrnu dalšího měsíce (předpokládá se rovnoměrné rozložení srážek během měsíce) =&gt; doba polovičních srážek je 6,58 měsíce</w:t>
      </w:r>
    </w:p>
    <w:p w:rsidR="001D79CF" w:rsidRDefault="001D79CF" w:rsidP="004931D7">
      <w:pPr>
        <w:jc w:val="both"/>
      </w:pPr>
      <w:r>
        <w:t>Dosazení pro Yalta</w:t>
      </w:r>
    </w:p>
    <w:p w:rsidR="001D79CF" w:rsidRDefault="0050584C" w:rsidP="004931D7">
      <w:pPr>
        <w:jc w:val="both"/>
      </w:pPr>
      <w:r>
        <w:tab/>
      </w:r>
      <w:r w:rsidR="00542D89">
        <w:t>Roční úhrn srážek je 622 mm, polovina je 311 mm:35+35+45+36+35+43+38=7 celých měsíců, do dosažení poloviny srážek zbývá 44 mm, což představuje 0,65 měsíčního úhrnu dalšího měsíce (předpokládá se rovnoměrné rozložení srážek během měsíce) =&gt; doba polovičních srážek je 7,65 měsíce</w:t>
      </w:r>
    </w:p>
    <w:p w:rsidR="0050584C" w:rsidRPr="001D79CF" w:rsidRDefault="0050584C" w:rsidP="004931D7">
      <w:pPr>
        <w:jc w:val="both"/>
      </w:pPr>
      <w:r>
        <w:tab/>
        <w:t>Výsledky odpovídají tomu, že s rostoucí kontinentalitou se doba polovičních srážek zkracuje (v kontinentálních oblastech se zkracuje asi na 3 měsíce, v oblastech silně oceanických přesahuje 7,0). Stanici Sniezka bychom proto mohli označit jako mírně kontinentální až přechodnou. Stanice London a Yalta jsou silně oceánické.</w:t>
      </w:r>
    </w:p>
    <w:p w:rsidR="00EC1664" w:rsidRDefault="00EC1664" w:rsidP="004931D7"/>
    <w:p w:rsidR="00EC1664" w:rsidRDefault="00EC1664" w:rsidP="004931D7"/>
    <w:p w:rsidR="00E06222" w:rsidRPr="00E06222" w:rsidRDefault="00E06222" w:rsidP="004931D7">
      <w:pPr>
        <w:rPr>
          <w:b/>
          <w:sz w:val="24"/>
          <w:szCs w:val="24"/>
        </w:rPr>
      </w:pPr>
      <w:r w:rsidRPr="00E06222">
        <w:rPr>
          <w:b/>
          <w:sz w:val="24"/>
          <w:szCs w:val="24"/>
        </w:rPr>
        <w:lastRenderedPageBreak/>
        <w:t>d) Poloha těžiště srážek</w:t>
      </w:r>
    </w:p>
    <w:p w:rsidR="0087554E" w:rsidRDefault="00A73690" w:rsidP="004931D7">
      <w:pPr>
        <w:jc w:val="both"/>
      </w:pPr>
      <w:r>
        <w:tab/>
        <w:t>V</w:t>
      </w:r>
      <w:r w:rsidR="00E06222">
        <w:t>ychází se z toho, že měsíční srážkové úhrny jsou rozloženy souměrně po obvodu kružnice o jednotkovém poloměru</w:t>
      </w:r>
      <w:r>
        <w:t>.</w:t>
      </w:r>
    </w:p>
    <w:p w:rsidR="00A73690" w:rsidRDefault="00A73690" w:rsidP="004931D7">
      <w:pPr>
        <w:jc w:val="both"/>
      </w:pPr>
      <w:r w:rsidRPr="00A73690">
        <w:rPr>
          <w:noProof/>
          <w:lang w:eastAsia="cs-CZ"/>
        </w:rPr>
        <w:drawing>
          <wp:inline distT="0" distB="0" distL="0" distR="0">
            <wp:extent cx="5362575" cy="40100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54E" w:rsidRDefault="00604D1F" w:rsidP="004931D7">
      <w:commentRangeStart w:id="15"/>
      <w:r>
        <w:t xml:space="preserve">Obr. </w:t>
      </w:r>
      <w:r w:rsidR="004348DB">
        <w:t>2</w:t>
      </w:r>
      <w:r>
        <w:t>:</w:t>
      </w:r>
      <w:commentRangeEnd w:id="15"/>
      <w:r w:rsidR="00174A00">
        <w:rPr>
          <w:rStyle w:val="Odkaznakoment"/>
        </w:rPr>
        <w:commentReference w:id="15"/>
      </w:r>
      <w:r w:rsidR="00A73690">
        <w:t>Paprskový graf rozložení ročního chodu srážek vybraných klimatologických stanic v letech 1961-1990</w:t>
      </w:r>
    </w:p>
    <w:p w:rsidR="00C455CF" w:rsidRDefault="00C455CF" w:rsidP="004931D7"/>
    <w:p w:rsidR="004931D7" w:rsidRDefault="004931D7" w:rsidP="004931D7"/>
    <w:p w:rsidR="00C455CF" w:rsidRDefault="00C455CF" w:rsidP="004931D7">
      <w:r>
        <w:t>Tab. 7: Souřadnice polohy těžiště srážek vybraných stanic v období let 1961 – 1990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9"/>
        <w:gridCol w:w="2099"/>
        <w:gridCol w:w="2099"/>
      </w:tblGrid>
      <w:tr w:rsidR="00A73690" w:rsidRPr="00604D1F" w:rsidTr="00720483">
        <w:trPr>
          <w:trHeight w:val="379"/>
        </w:trPr>
        <w:tc>
          <w:tcPr>
            <w:tcW w:w="2099" w:type="dxa"/>
            <w:vAlign w:val="center"/>
          </w:tcPr>
          <w:p w:rsidR="00A73690" w:rsidRPr="00604D1F" w:rsidRDefault="00A73690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4D1F">
              <w:rPr>
                <w:b/>
                <w:sz w:val="20"/>
                <w:szCs w:val="20"/>
              </w:rPr>
              <w:t>Stanice</w:t>
            </w:r>
          </w:p>
        </w:tc>
        <w:tc>
          <w:tcPr>
            <w:tcW w:w="2099" w:type="dxa"/>
            <w:vAlign w:val="center"/>
          </w:tcPr>
          <w:p w:rsidR="00A73690" w:rsidRPr="00604D1F" w:rsidRDefault="00A73690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4D1F">
              <w:rPr>
                <w:b/>
                <w:sz w:val="20"/>
                <w:szCs w:val="20"/>
              </w:rPr>
              <w:t>Souřadnice x</w:t>
            </w:r>
          </w:p>
        </w:tc>
        <w:tc>
          <w:tcPr>
            <w:tcW w:w="2099" w:type="dxa"/>
            <w:vAlign w:val="center"/>
          </w:tcPr>
          <w:p w:rsidR="00A73690" w:rsidRPr="00604D1F" w:rsidRDefault="00A73690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4D1F">
              <w:rPr>
                <w:b/>
                <w:sz w:val="20"/>
                <w:szCs w:val="20"/>
              </w:rPr>
              <w:t>Souřadnice y</w:t>
            </w:r>
          </w:p>
        </w:tc>
      </w:tr>
      <w:tr w:rsidR="00A73690" w:rsidRPr="00604D1F" w:rsidTr="00720483">
        <w:trPr>
          <w:trHeight w:val="379"/>
        </w:trPr>
        <w:tc>
          <w:tcPr>
            <w:tcW w:w="2099" w:type="dxa"/>
            <w:vAlign w:val="center"/>
          </w:tcPr>
          <w:p w:rsidR="00A73690" w:rsidRPr="00604D1F" w:rsidRDefault="00A73690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2099" w:type="dxa"/>
            <w:vAlign w:val="center"/>
          </w:tcPr>
          <w:p w:rsidR="00A73690" w:rsidRPr="00604D1F" w:rsidRDefault="00251490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0,03884</w:t>
            </w:r>
          </w:p>
        </w:tc>
        <w:tc>
          <w:tcPr>
            <w:tcW w:w="2099" w:type="dxa"/>
            <w:vAlign w:val="center"/>
          </w:tcPr>
          <w:p w:rsidR="00A73690" w:rsidRPr="00604D1F" w:rsidRDefault="00637A8D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-0,11059</w:t>
            </w:r>
          </w:p>
        </w:tc>
      </w:tr>
      <w:tr w:rsidR="00A73690" w:rsidRPr="00604D1F" w:rsidTr="00720483">
        <w:trPr>
          <w:trHeight w:val="379"/>
        </w:trPr>
        <w:tc>
          <w:tcPr>
            <w:tcW w:w="2099" w:type="dxa"/>
            <w:vAlign w:val="center"/>
          </w:tcPr>
          <w:p w:rsidR="00A73690" w:rsidRPr="00604D1F" w:rsidRDefault="00A73690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London/Gatwick Airp</w:t>
            </w:r>
          </w:p>
        </w:tc>
        <w:tc>
          <w:tcPr>
            <w:tcW w:w="2099" w:type="dxa"/>
            <w:vAlign w:val="center"/>
          </w:tcPr>
          <w:p w:rsidR="00A73690" w:rsidRPr="00604D1F" w:rsidRDefault="00251490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-0,04655</w:t>
            </w:r>
          </w:p>
        </w:tc>
        <w:tc>
          <w:tcPr>
            <w:tcW w:w="2099" w:type="dxa"/>
            <w:vAlign w:val="center"/>
          </w:tcPr>
          <w:p w:rsidR="00A73690" w:rsidRPr="00604D1F" w:rsidRDefault="00637A8D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0,08527</w:t>
            </w:r>
          </w:p>
        </w:tc>
      </w:tr>
      <w:tr w:rsidR="00A73690" w:rsidRPr="00604D1F" w:rsidTr="00720483">
        <w:trPr>
          <w:trHeight w:val="379"/>
        </w:trPr>
        <w:tc>
          <w:tcPr>
            <w:tcW w:w="2099" w:type="dxa"/>
            <w:vAlign w:val="center"/>
          </w:tcPr>
          <w:p w:rsidR="00A73690" w:rsidRPr="00604D1F" w:rsidRDefault="00A73690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2099" w:type="dxa"/>
            <w:vAlign w:val="center"/>
          </w:tcPr>
          <w:p w:rsidR="00A73690" w:rsidRPr="00604D1F" w:rsidRDefault="00251490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-0,06486</w:t>
            </w:r>
          </w:p>
        </w:tc>
        <w:tc>
          <w:tcPr>
            <w:tcW w:w="2099" w:type="dxa"/>
            <w:vAlign w:val="center"/>
          </w:tcPr>
          <w:p w:rsidR="00A73690" w:rsidRPr="00604D1F" w:rsidRDefault="00637A8D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0,21230</w:t>
            </w:r>
          </w:p>
        </w:tc>
      </w:tr>
    </w:tbl>
    <w:p w:rsidR="00A73690" w:rsidRDefault="00A73690" w:rsidP="004931D7"/>
    <w:p w:rsidR="00A73690" w:rsidRDefault="00A73690" w:rsidP="004931D7"/>
    <w:p w:rsidR="00A73690" w:rsidRDefault="00A73690" w:rsidP="004931D7"/>
    <w:p w:rsidR="004931D7" w:rsidRDefault="004931D7" w:rsidP="004931D7"/>
    <w:p w:rsidR="0087554E" w:rsidRDefault="00A73690" w:rsidP="004931D7">
      <w:r>
        <w:lastRenderedPageBreak/>
        <w:t>Souřadnice těžiště srážek se vypočtou podle vztahů:</w:t>
      </w:r>
    </w:p>
    <w:p w:rsidR="00A73690" w:rsidRDefault="00A73690" w:rsidP="004931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II+VI-VIII-XII</m:t>
                  </m:r>
                </m:e>
              </m:d>
              <m:r>
                <w:rPr>
                  <w:rFonts w:ascii="Cambria Math" w:hAnsi="Cambria Math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III+V-IX-XI</m:t>
                  </m:r>
                </m:e>
              </m:d>
              <m:r>
                <w:rPr>
                  <w:rFonts w:ascii="Cambria Math" w:hAnsi="Cambria Math"/>
                </w:rPr>
                <m:t>+IV-X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604D1F" w:rsidRDefault="00604D1F" w:rsidP="004931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III-V-IX+XI</m:t>
                  </m:r>
                </m:e>
              </m:d>
              <m:r>
                <w:rPr>
                  <w:rFonts w:ascii="Cambria Math" w:hAnsi="Cambria Math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II-VI-VII+XII</m:t>
                  </m:r>
                </m:e>
              </m:d>
              <m:r>
                <w:rPr>
                  <w:rFonts w:ascii="Cambria Math" w:hAnsi="Cambria Math"/>
                </w:rPr>
                <m:t>+I-VII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604D1F" w:rsidRPr="00FB5CF7" w:rsidRDefault="00604D1F" w:rsidP="004931D7">
      <w:pPr>
        <w:rPr>
          <w:rFonts w:eastAsiaTheme="minorEastAsia"/>
          <w:sz w:val="20"/>
          <w:szCs w:val="20"/>
        </w:rPr>
      </w:pPr>
      <w:r w:rsidRPr="00FB5CF7">
        <w:rPr>
          <w:rFonts w:eastAsiaTheme="minorEastAsia"/>
          <w:sz w:val="20"/>
          <w:szCs w:val="20"/>
        </w:rPr>
        <w:t>I, II, III… úhrny srážek jednotlivých měsíců</w:t>
      </w:r>
    </w:p>
    <w:p w:rsidR="00604D1F" w:rsidRPr="00FB5CF7" w:rsidRDefault="00604D1F" w:rsidP="004931D7">
      <w:pPr>
        <w:rPr>
          <w:rFonts w:eastAsiaTheme="minorEastAsia"/>
          <w:sz w:val="20"/>
          <w:szCs w:val="20"/>
        </w:rPr>
      </w:pPr>
      <w:r w:rsidRPr="00FB5CF7">
        <w:rPr>
          <w:rFonts w:eastAsiaTheme="minorEastAsia"/>
          <w:sz w:val="20"/>
          <w:szCs w:val="20"/>
        </w:rPr>
        <w:t>S… roční úhrny srážek</w:t>
      </w:r>
    </w:p>
    <w:p w:rsidR="00195EB5" w:rsidRDefault="00195EB5" w:rsidP="004931D7">
      <w:pPr>
        <w:rPr>
          <w:rFonts w:eastAsiaTheme="minorEastAsia"/>
        </w:rPr>
      </w:pPr>
    </w:p>
    <w:p w:rsidR="008D3B71" w:rsidRDefault="008D3B71" w:rsidP="004931D7">
      <w:pPr>
        <w:rPr>
          <w:rFonts w:eastAsiaTheme="minorEastAsia"/>
        </w:rPr>
      </w:pPr>
      <w:r>
        <w:rPr>
          <w:rFonts w:eastAsiaTheme="minorEastAsia"/>
        </w:rPr>
        <w:t>Dosazení pro stanici Sniezka</w:t>
      </w:r>
      <w:r w:rsidR="00195EB5">
        <w:rPr>
          <w:rFonts w:eastAsiaTheme="minorEastAsia"/>
        </w:rPr>
        <w:t>:</w:t>
      </w:r>
    </w:p>
    <w:p w:rsidR="00195EB5" w:rsidRDefault="00195EB5" w:rsidP="004931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91+141-132-96</m:t>
                  </m:r>
                </m:e>
              </m:d>
              <m:r>
                <w:rPr>
                  <w:rFonts w:ascii="Cambria Math" w:hAnsi="Cambria Math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87+123-85-103</m:t>
                  </m:r>
                </m:e>
              </m:d>
              <m:r>
                <w:rPr>
                  <w:rFonts w:ascii="Cambria Math" w:hAnsi="Cambria Math"/>
                </w:rPr>
                <m:t>+104-76</m:t>
              </m:r>
            </m:num>
            <m:den>
              <m:r>
                <w:rPr>
                  <w:rFonts w:ascii="Cambria Math" w:hAnsi="Cambria Math"/>
                </w:rPr>
                <m:t>1263</m:t>
              </m:r>
            </m:den>
          </m:f>
        </m:oMath>
      </m:oMathPara>
    </w:p>
    <w:p w:rsidR="0038525A" w:rsidRPr="0038525A" w:rsidRDefault="0038525A" w:rsidP="004931D7">
      <w:pPr>
        <w:rPr>
          <w:rFonts w:eastAsiaTheme="minorEastAsia"/>
          <w:i/>
          <w:sz w:val="24"/>
          <w:szCs w:val="24"/>
        </w:rPr>
      </w:pPr>
      <w:r w:rsidRPr="0038525A">
        <w:rPr>
          <w:rFonts w:eastAsiaTheme="minorEastAsia"/>
          <w:i/>
          <w:sz w:val="24"/>
          <w:szCs w:val="24"/>
        </w:rPr>
        <w:t xml:space="preserve">x = </w:t>
      </w:r>
      <w:r w:rsidRPr="0038525A">
        <w:rPr>
          <w:i/>
          <w:sz w:val="24"/>
          <w:szCs w:val="24"/>
        </w:rPr>
        <w:t>0,03884</w:t>
      </w:r>
    </w:p>
    <w:p w:rsidR="00195EB5" w:rsidRDefault="00195EB5" w:rsidP="004931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87-123-85+103</m:t>
                  </m:r>
                </m:e>
              </m:d>
              <m:r>
                <w:rPr>
                  <w:rFonts w:ascii="Cambria Math" w:hAnsi="Cambria Math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91-141-138+96</m:t>
                  </m:r>
                </m:e>
              </m:d>
              <m:r>
                <w:rPr>
                  <w:rFonts w:ascii="Cambria Math" w:hAnsi="Cambria Math"/>
                </w:rPr>
                <m:t>+87-138</m:t>
              </m:r>
            </m:num>
            <m:den>
              <m:r>
                <w:rPr>
                  <w:rFonts w:ascii="Cambria Math" w:hAnsi="Cambria Math"/>
                </w:rPr>
                <m:t>1263</m:t>
              </m:r>
            </m:den>
          </m:f>
        </m:oMath>
      </m:oMathPara>
    </w:p>
    <w:p w:rsidR="00195EB5" w:rsidRDefault="0038525A" w:rsidP="004931D7">
      <w:pPr>
        <w:rPr>
          <w:i/>
          <w:sz w:val="24"/>
          <w:szCs w:val="24"/>
        </w:rPr>
      </w:pPr>
      <w:r w:rsidRPr="0038525A">
        <w:rPr>
          <w:rFonts w:eastAsiaTheme="minorEastAsia"/>
          <w:i/>
          <w:sz w:val="24"/>
          <w:szCs w:val="24"/>
        </w:rPr>
        <w:t xml:space="preserve">y = </w:t>
      </w:r>
      <w:r w:rsidRPr="0038525A">
        <w:rPr>
          <w:i/>
          <w:sz w:val="24"/>
          <w:szCs w:val="24"/>
        </w:rPr>
        <w:t>-0,11059</w:t>
      </w:r>
    </w:p>
    <w:p w:rsidR="0087554E" w:rsidRDefault="0083365B" w:rsidP="004931D7">
      <w:pPr>
        <w:jc w:val="both"/>
      </w:pPr>
      <w:r>
        <w:tab/>
        <w:t>Stanice London a Yalta mají v paprskovém grafu podobný průběh. Výrazně s</w:t>
      </w:r>
      <w:r w:rsidR="00FB5CF7">
        <w:t>e liší Sniezka, která má</w:t>
      </w:r>
      <w:r>
        <w:t xml:space="preserve"> celoročně srážkově vydatné měsíce. Nejvíce srážek ale spadne v období od dubna do srpna.</w:t>
      </w:r>
    </w:p>
    <w:p w:rsidR="00256DBF" w:rsidRDefault="00790F7F" w:rsidP="004931D7">
      <w:r w:rsidRPr="00790F7F">
        <w:rPr>
          <w:noProof/>
          <w:lang w:eastAsia="cs-CZ"/>
        </w:rPr>
        <w:drawing>
          <wp:inline distT="0" distB="0" distL="0" distR="0">
            <wp:extent cx="5229225" cy="3571875"/>
            <wp:effectExtent l="0" t="0" r="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4FC3" w:rsidRDefault="00384FC3" w:rsidP="004931D7">
      <w:pPr>
        <w:jc w:val="both"/>
      </w:pPr>
      <w:r>
        <w:t xml:space="preserve">Obr. </w:t>
      </w:r>
      <w:r w:rsidR="004348DB">
        <w:t>3</w:t>
      </w:r>
      <w:r>
        <w:t>:</w:t>
      </w:r>
      <w:r w:rsidRPr="00384FC3">
        <w:t xml:space="preserve"> </w:t>
      </w:r>
      <w:r>
        <w:t>Poloha těžiště srážek vybraných stanic v období let 1961 – 1990</w:t>
      </w:r>
    </w:p>
    <w:p w:rsidR="00256DBF" w:rsidRDefault="00384FC3" w:rsidP="004931D7">
      <w:pPr>
        <w:jc w:val="both"/>
      </w:pPr>
      <w:r>
        <w:lastRenderedPageBreak/>
        <w:tab/>
      </w:r>
      <w:r w:rsidR="004D64BA">
        <w:t xml:space="preserve">Poloha stanic v jednotlivých kvadrantech charakterizuje různé typy klimatu. Z obrázku je patrné, že jak stanice </w:t>
      </w:r>
      <w:r>
        <w:t>London/Gatwick Airp, tak stanice Yalta</w:t>
      </w:r>
      <w:r w:rsidR="004D64BA">
        <w:t xml:space="preserve"> leží ve II. kvadrantu, který znamená, že klima na stanicích je oceánické. Sniezka leží ve IV. kvadrantu, který charakterizuje teplý kontinentální </w:t>
      </w:r>
      <w:commentRangeStart w:id="16"/>
      <w:r w:rsidR="004D64BA">
        <w:t>typ</w:t>
      </w:r>
      <w:commentRangeEnd w:id="16"/>
      <w:r w:rsidR="00BA4CBF">
        <w:rPr>
          <w:rStyle w:val="Odkaznakoment"/>
        </w:rPr>
        <w:commentReference w:id="16"/>
      </w:r>
      <w:r w:rsidR="004D64BA">
        <w:t>.</w:t>
      </w:r>
    </w:p>
    <w:p w:rsidR="004D64BA" w:rsidRDefault="004D64BA" w:rsidP="004931D7"/>
    <w:p w:rsidR="004D64BA" w:rsidRDefault="004D64BA" w:rsidP="004931D7"/>
    <w:p w:rsidR="00256DBF" w:rsidRDefault="00C455CF" w:rsidP="004931D7">
      <w:r>
        <w:t>Tab. 8:</w:t>
      </w:r>
      <w:r w:rsidRPr="00C455CF">
        <w:t xml:space="preserve"> </w:t>
      </w:r>
      <w:r>
        <w:t>Výsledné hodnoty vybraných charakteristik na sledovaných stanicích za období let 1961 - 1990</w:t>
      </w:r>
    </w:p>
    <w:tbl>
      <w:tblPr>
        <w:tblStyle w:val="Mkatabulky"/>
        <w:tblW w:w="10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120"/>
        <w:gridCol w:w="1290"/>
        <w:gridCol w:w="1215"/>
        <w:gridCol w:w="1252"/>
        <w:gridCol w:w="1253"/>
        <w:gridCol w:w="1252"/>
        <w:gridCol w:w="1253"/>
      </w:tblGrid>
      <w:tr w:rsidR="00790F7F" w:rsidRPr="00790F7F" w:rsidTr="005021A2">
        <w:trPr>
          <w:trHeight w:val="1397"/>
        </w:trPr>
        <w:tc>
          <w:tcPr>
            <w:tcW w:w="1384" w:type="dxa"/>
            <w:vAlign w:val="center"/>
          </w:tcPr>
          <w:p w:rsidR="00256DBF" w:rsidRPr="00384FC3" w:rsidRDefault="00256DB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commentRangeStart w:id="17"/>
            <w:r w:rsidRPr="00384FC3">
              <w:rPr>
                <w:b/>
                <w:sz w:val="20"/>
                <w:szCs w:val="20"/>
              </w:rPr>
              <w:t>Stanice</w:t>
            </w:r>
            <w:commentRangeEnd w:id="17"/>
            <w:r w:rsidR="00727FE9">
              <w:rPr>
                <w:rStyle w:val="Odkaznakoment"/>
              </w:rPr>
              <w:commentReference w:id="17"/>
            </w:r>
          </w:p>
        </w:tc>
        <w:tc>
          <w:tcPr>
            <w:tcW w:w="1120" w:type="dxa"/>
            <w:vAlign w:val="center"/>
          </w:tcPr>
          <w:p w:rsidR="00256DBF" w:rsidRPr="00384FC3" w:rsidRDefault="00256DB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Zeměpisná šířka [°]</w:t>
            </w:r>
          </w:p>
        </w:tc>
        <w:tc>
          <w:tcPr>
            <w:tcW w:w="1290" w:type="dxa"/>
            <w:vAlign w:val="center"/>
          </w:tcPr>
          <w:p w:rsidR="00256DBF" w:rsidRPr="00384FC3" w:rsidRDefault="00256DB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Nadmořská výška [m n.m.]</w:t>
            </w:r>
          </w:p>
        </w:tc>
        <w:tc>
          <w:tcPr>
            <w:tcW w:w="1215" w:type="dxa"/>
            <w:vAlign w:val="center"/>
          </w:tcPr>
          <w:p w:rsidR="00256DBF" w:rsidRPr="00384FC3" w:rsidRDefault="00256DB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Index termické kontinentality [%]</w:t>
            </w:r>
          </w:p>
        </w:tc>
        <w:tc>
          <w:tcPr>
            <w:tcW w:w="1252" w:type="dxa"/>
            <w:vAlign w:val="center"/>
          </w:tcPr>
          <w:p w:rsidR="00256DBF" w:rsidRPr="00384FC3" w:rsidRDefault="00256DB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Index ombrické kontinentality [%]</w:t>
            </w:r>
          </w:p>
        </w:tc>
        <w:tc>
          <w:tcPr>
            <w:tcW w:w="1253" w:type="dxa"/>
            <w:vAlign w:val="center"/>
          </w:tcPr>
          <w:p w:rsidR="00256DBF" w:rsidRPr="00384FC3" w:rsidRDefault="00790F7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Doba polovičních srážek [měsíc]</w:t>
            </w:r>
          </w:p>
        </w:tc>
        <w:tc>
          <w:tcPr>
            <w:tcW w:w="1252" w:type="dxa"/>
            <w:vAlign w:val="center"/>
          </w:tcPr>
          <w:p w:rsidR="00256DBF" w:rsidRPr="00384FC3" w:rsidRDefault="00790F7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Poloha těžiště srážek</w:t>
            </w:r>
          </w:p>
        </w:tc>
        <w:tc>
          <w:tcPr>
            <w:tcW w:w="1253" w:type="dxa"/>
            <w:vAlign w:val="center"/>
          </w:tcPr>
          <w:p w:rsidR="00256DBF" w:rsidRPr="00384FC3" w:rsidRDefault="00790F7F" w:rsidP="0049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4FC3">
              <w:rPr>
                <w:b/>
                <w:sz w:val="20"/>
                <w:szCs w:val="20"/>
              </w:rPr>
              <w:t>Klima kontinentální/ oceánské</w:t>
            </w:r>
          </w:p>
        </w:tc>
      </w:tr>
      <w:tr w:rsidR="00384FC3" w:rsidRPr="00790F7F" w:rsidTr="005021A2">
        <w:trPr>
          <w:trHeight w:val="263"/>
        </w:trPr>
        <w:tc>
          <w:tcPr>
            <w:tcW w:w="1384" w:type="dxa"/>
            <w:vAlign w:val="center"/>
          </w:tcPr>
          <w:p w:rsidR="00384FC3" w:rsidRPr="00604D1F" w:rsidRDefault="00384FC3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Sniezka</w:t>
            </w:r>
          </w:p>
        </w:tc>
        <w:tc>
          <w:tcPr>
            <w:tcW w:w="1120" w:type="dxa"/>
            <w:vAlign w:val="center"/>
          </w:tcPr>
          <w:p w:rsidR="00384FC3" w:rsidRPr="004F4EF8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4EF8">
              <w:rPr>
                <w:sz w:val="20"/>
                <w:szCs w:val="20"/>
              </w:rPr>
              <w:t>50° 44´</w:t>
            </w:r>
          </w:p>
        </w:tc>
        <w:tc>
          <w:tcPr>
            <w:tcW w:w="1290" w:type="dxa"/>
            <w:vAlign w:val="center"/>
          </w:tcPr>
          <w:p w:rsidR="00384FC3" w:rsidRPr="00384FC3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FC3">
              <w:rPr>
                <w:sz w:val="20"/>
                <w:szCs w:val="20"/>
              </w:rPr>
              <w:t>1587</w:t>
            </w:r>
          </w:p>
        </w:tc>
        <w:tc>
          <w:tcPr>
            <w:tcW w:w="1215" w:type="dxa"/>
            <w:vAlign w:val="center"/>
          </w:tcPr>
          <w:p w:rsidR="00384FC3" w:rsidRPr="004F4EF8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  <w:tc>
          <w:tcPr>
            <w:tcW w:w="1252" w:type="dxa"/>
            <w:vAlign w:val="center"/>
          </w:tcPr>
          <w:p w:rsidR="00384FC3" w:rsidRPr="007D5752" w:rsidRDefault="00384FC3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  <w:tc>
          <w:tcPr>
            <w:tcW w:w="1253" w:type="dxa"/>
            <w:vAlign w:val="center"/>
          </w:tcPr>
          <w:p w:rsidR="00384FC3" w:rsidRPr="001D79C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4,95</w:t>
            </w:r>
          </w:p>
        </w:tc>
        <w:tc>
          <w:tcPr>
            <w:tcW w:w="1252" w:type="dxa"/>
            <w:vAlign w:val="center"/>
          </w:tcPr>
          <w:p w:rsidR="00384FC3" w:rsidRPr="00790F7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kvadrant</w:t>
            </w:r>
          </w:p>
        </w:tc>
        <w:tc>
          <w:tcPr>
            <w:tcW w:w="1253" w:type="dxa"/>
            <w:vAlign w:val="center"/>
          </w:tcPr>
          <w:p w:rsidR="00384FC3" w:rsidRPr="00384FC3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FC3">
              <w:rPr>
                <w:sz w:val="20"/>
                <w:szCs w:val="20"/>
              </w:rPr>
              <w:t>kontinentální</w:t>
            </w:r>
          </w:p>
        </w:tc>
      </w:tr>
      <w:tr w:rsidR="00384FC3" w:rsidRPr="00790F7F" w:rsidTr="005021A2">
        <w:trPr>
          <w:trHeight w:val="280"/>
        </w:trPr>
        <w:tc>
          <w:tcPr>
            <w:tcW w:w="1384" w:type="dxa"/>
            <w:vAlign w:val="center"/>
          </w:tcPr>
          <w:p w:rsidR="00384FC3" w:rsidRPr="00604D1F" w:rsidRDefault="00384FC3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London/</w:t>
            </w:r>
            <w:r w:rsidR="005021A2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Gatwick Airp</w:t>
            </w:r>
          </w:p>
        </w:tc>
        <w:tc>
          <w:tcPr>
            <w:tcW w:w="1120" w:type="dxa"/>
            <w:vAlign w:val="center"/>
          </w:tcPr>
          <w:p w:rsidR="00384FC3" w:rsidRPr="004F4EF8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4EF8">
              <w:rPr>
                <w:sz w:val="20"/>
                <w:szCs w:val="20"/>
              </w:rPr>
              <w:t>51° 09´</w:t>
            </w:r>
          </w:p>
        </w:tc>
        <w:tc>
          <w:tcPr>
            <w:tcW w:w="1290" w:type="dxa"/>
            <w:vAlign w:val="center"/>
          </w:tcPr>
          <w:p w:rsidR="00384FC3" w:rsidRPr="00384FC3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FC3">
              <w:rPr>
                <w:sz w:val="20"/>
                <w:szCs w:val="20"/>
              </w:rPr>
              <w:t>62</w:t>
            </w:r>
          </w:p>
        </w:tc>
        <w:tc>
          <w:tcPr>
            <w:tcW w:w="1215" w:type="dxa"/>
            <w:vAlign w:val="center"/>
          </w:tcPr>
          <w:p w:rsidR="00384FC3" w:rsidRPr="004F4EF8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1252" w:type="dxa"/>
            <w:vAlign w:val="center"/>
          </w:tcPr>
          <w:p w:rsidR="00384FC3" w:rsidRPr="007D5752" w:rsidRDefault="00384FC3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  <w:tc>
          <w:tcPr>
            <w:tcW w:w="1253" w:type="dxa"/>
            <w:vAlign w:val="center"/>
          </w:tcPr>
          <w:p w:rsidR="00384FC3" w:rsidRPr="001D79C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79CF">
              <w:rPr>
                <w:sz w:val="20"/>
                <w:szCs w:val="20"/>
              </w:rPr>
              <w:t>6,58</w:t>
            </w:r>
          </w:p>
        </w:tc>
        <w:tc>
          <w:tcPr>
            <w:tcW w:w="1252" w:type="dxa"/>
            <w:vAlign w:val="center"/>
          </w:tcPr>
          <w:p w:rsidR="00384FC3" w:rsidRPr="00790F7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kvadrant</w:t>
            </w:r>
          </w:p>
        </w:tc>
        <w:tc>
          <w:tcPr>
            <w:tcW w:w="1253" w:type="dxa"/>
            <w:vAlign w:val="center"/>
          </w:tcPr>
          <w:p w:rsidR="00384FC3" w:rsidRPr="00384FC3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FC3">
              <w:rPr>
                <w:sz w:val="20"/>
                <w:szCs w:val="20"/>
              </w:rPr>
              <w:t>oce</w:t>
            </w:r>
            <w:r w:rsidR="00C455CF">
              <w:rPr>
                <w:sz w:val="20"/>
                <w:szCs w:val="20"/>
              </w:rPr>
              <w:t>ánské</w:t>
            </w:r>
          </w:p>
        </w:tc>
      </w:tr>
      <w:tr w:rsidR="00384FC3" w:rsidRPr="00790F7F" w:rsidTr="00FB5CF7">
        <w:trPr>
          <w:trHeight w:val="560"/>
        </w:trPr>
        <w:tc>
          <w:tcPr>
            <w:tcW w:w="1384" w:type="dxa"/>
            <w:vAlign w:val="center"/>
          </w:tcPr>
          <w:p w:rsidR="00384FC3" w:rsidRPr="00604D1F" w:rsidRDefault="00384FC3" w:rsidP="004931D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D1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Yalta</w:t>
            </w:r>
          </w:p>
        </w:tc>
        <w:tc>
          <w:tcPr>
            <w:tcW w:w="1120" w:type="dxa"/>
            <w:vAlign w:val="center"/>
          </w:tcPr>
          <w:p w:rsidR="00384FC3" w:rsidRPr="004F4EF8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4EF8">
              <w:rPr>
                <w:sz w:val="20"/>
                <w:szCs w:val="20"/>
              </w:rPr>
              <w:t>44° 29´</w:t>
            </w:r>
          </w:p>
        </w:tc>
        <w:tc>
          <w:tcPr>
            <w:tcW w:w="1290" w:type="dxa"/>
            <w:vAlign w:val="center"/>
          </w:tcPr>
          <w:p w:rsidR="00384FC3" w:rsidRPr="00790F7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15" w:type="dxa"/>
            <w:vAlign w:val="center"/>
          </w:tcPr>
          <w:p w:rsidR="00384FC3" w:rsidRPr="004F4EF8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26,42</w:t>
            </w:r>
          </w:p>
        </w:tc>
        <w:tc>
          <w:tcPr>
            <w:tcW w:w="1252" w:type="dxa"/>
            <w:vAlign w:val="center"/>
          </w:tcPr>
          <w:p w:rsidR="00384FC3" w:rsidRPr="007D5752" w:rsidRDefault="00384FC3" w:rsidP="004931D7">
            <w:pPr>
              <w:spacing w:after="1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1253" w:type="dxa"/>
            <w:vAlign w:val="center"/>
          </w:tcPr>
          <w:p w:rsidR="00384FC3" w:rsidRPr="001D79C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1252" w:type="dxa"/>
            <w:vAlign w:val="center"/>
          </w:tcPr>
          <w:p w:rsidR="00384FC3" w:rsidRPr="00790F7F" w:rsidRDefault="00384FC3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kvadrant</w:t>
            </w:r>
          </w:p>
        </w:tc>
        <w:tc>
          <w:tcPr>
            <w:tcW w:w="1253" w:type="dxa"/>
            <w:vAlign w:val="center"/>
          </w:tcPr>
          <w:p w:rsidR="00384FC3" w:rsidRPr="00384FC3" w:rsidRDefault="00C455CF" w:rsidP="00493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FC3">
              <w:rPr>
                <w:sz w:val="20"/>
                <w:szCs w:val="20"/>
              </w:rPr>
              <w:t>oce</w:t>
            </w:r>
            <w:r>
              <w:rPr>
                <w:sz w:val="20"/>
                <w:szCs w:val="20"/>
              </w:rPr>
              <w:t>ánské</w:t>
            </w:r>
          </w:p>
        </w:tc>
      </w:tr>
    </w:tbl>
    <w:p w:rsidR="00256DBF" w:rsidRDefault="00256DBF" w:rsidP="004931D7"/>
    <w:p w:rsidR="004931D7" w:rsidRDefault="004931D7" w:rsidP="004931D7"/>
    <w:p w:rsidR="0087554E" w:rsidRDefault="0083365B" w:rsidP="004931D7">
      <w:r>
        <w:t>ZÁVĚR</w:t>
      </w:r>
    </w:p>
    <w:p w:rsidR="0083365B" w:rsidRDefault="00C06F5D" w:rsidP="004931D7">
      <w:pPr>
        <w:jc w:val="both"/>
      </w:pPr>
      <w:r>
        <w:tab/>
      </w:r>
      <w:r w:rsidR="00E770C1">
        <w:t xml:space="preserve">V </w:t>
      </w:r>
      <w:commentRangeStart w:id="18"/>
      <w:r w:rsidR="00E770C1">
        <w:t xml:space="preserve">poslední tabulce </w:t>
      </w:r>
      <w:commentRangeEnd w:id="18"/>
      <w:r w:rsidR="00BA4CBF">
        <w:rPr>
          <w:rStyle w:val="Odkaznakoment"/>
        </w:rPr>
        <w:commentReference w:id="18"/>
      </w:r>
      <w:r w:rsidR="00E770C1">
        <w:t>můžeme vidět shrnutí výsledků zjišťovaných ukazatelů pro vybrané stanice mezi lety 1961-1990.</w:t>
      </w:r>
    </w:p>
    <w:p w:rsidR="001561E8" w:rsidRDefault="00C06F5D" w:rsidP="004931D7">
      <w:pPr>
        <w:jc w:val="both"/>
      </w:pPr>
      <w:r>
        <w:tab/>
        <w:t>Stanice Sniezka, kterou díky</w:t>
      </w:r>
      <w:r w:rsidR="001561E8">
        <w:t xml:space="preserve"> nadmořské výšce (1587 m n.</w:t>
      </w:r>
      <w:r w:rsidR="00FB5CF7">
        <w:t xml:space="preserve"> </w:t>
      </w:r>
      <w:r w:rsidR="001561E8">
        <w:t xml:space="preserve">m.) můžeme označit jako horskou </w:t>
      </w:r>
      <w:commentRangeStart w:id="19"/>
      <w:r w:rsidR="001561E8">
        <w:t xml:space="preserve">má kontinentální </w:t>
      </w:r>
      <w:commentRangeEnd w:id="19"/>
      <w:r w:rsidR="00BA4CBF">
        <w:rPr>
          <w:rStyle w:val="Odkaznakoment"/>
        </w:rPr>
        <w:commentReference w:id="19"/>
      </w:r>
      <w:r w:rsidR="001561E8">
        <w:t>typ klimatu. Index termické kontinentality i index ombrické kontinentality (12,98% a 11,48%) jsou nižší než bychom očekávali, ale to může být způsobeno menšími rozdíly teplot a vydatnějšími srážkami během roku. Doba polovičních srážek je výrazněji nižší než u zbylých dvou stanic a indikuje přechodné až kontinentální klima. Sniezka leží ve IV. kvadrantu, který znamená teplé kontinentální klima.</w:t>
      </w:r>
    </w:p>
    <w:p w:rsidR="00EF7E6B" w:rsidRPr="00FB5CF7" w:rsidRDefault="00C06F5D" w:rsidP="004931D7">
      <w:pPr>
        <w:jc w:val="both"/>
        <w:rPr>
          <w:rFonts w:cstheme="minorHAnsi"/>
          <w:color w:val="000000"/>
          <w:shd w:val="clear" w:color="auto" w:fill="FFFFFF"/>
        </w:rPr>
      </w:pPr>
      <w:r>
        <w:tab/>
      </w:r>
      <w:r w:rsidRPr="00FB5CF7">
        <w:t xml:space="preserve">Stanice </w:t>
      </w:r>
      <w:r w:rsidRPr="00FB5CF7">
        <w:rPr>
          <w:rFonts w:cstheme="minorHAnsi"/>
          <w:color w:val="000000"/>
          <w:shd w:val="clear" w:color="auto" w:fill="FFFFFF"/>
        </w:rPr>
        <w:t>London/ Gatwick Airp</w:t>
      </w:r>
      <w:r w:rsidR="000B000F" w:rsidRPr="00FB5CF7">
        <w:rPr>
          <w:rFonts w:cstheme="minorHAnsi"/>
          <w:color w:val="000000"/>
          <w:shd w:val="clear" w:color="auto" w:fill="FFFFFF"/>
        </w:rPr>
        <w:t xml:space="preserve"> má nadmořskou výšku 62 m n.</w:t>
      </w:r>
      <w:r w:rsidR="00FB5CF7">
        <w:rPr>
          <w:rFonts w:cstheme="minorHAnsi"/>
          <w:color w:val="000000"/>
          <w:shd w:val="clear" w:color="auto" w:fill="FFFFFF"/>
        </w:rPr>
        <w:t xml:space="preserve"> </w:t>
      </w:r>
      <w:r w:rsidR="000B000F" w:rsidRPr="00FB5CF7">
        <w:rPr>
          <w:rFonts w:cstheme="minorHAnsi"/>
          <w:color w:val="000000"/>
          <w:shd w:val="clear" w:color="auto" w:fill="FFFFFF"/>
        </w:rPr>
        <w:t xml:space="preserve">m. a celkově tuto stanici můžeme označit jako oceánskou. Index termické kontinentality i index ombrické kontinentality (7,98% a 5,53%) jsou poměrně nízké, což odpovídá oceánskému klimatu. </w:t>
      </w:r>
      <w:r w:rsidR="00EF7E6B" w:rsidRPr="00FB5CF7">
        <w:rPr>
          <w:rFonts w:cstheme="minorHAnsi"/>
          <w:color w:val="000000"/>
          <w:shd w:val="clear" w:color="auto" w:fill="FFFFFF"/>
        </w:rPr>
        <w:t>Doba polovičních srážek (6,58) se blíží hodnotě 7, která charakterizuje silně oceánické oblasti. Stanice London/ Gatwick Airp leží ve druhém kvadrantu, který znamená oceánské klima.</w:t>
      </w:r>
    </w:p>
    <w:p w:rsidR="00B147CB" w:rsidRPr="00FB5CF7" w:rsidRDefault="00C06F5D" w:rsidP="00B147CB">
      <w:pPr>
        <w:jc w:val="both"/>
        <w:rPr>
          <w:rFonts w:cstheme="minorHAnsi"/>
          <w:color w:val="000000"/>
          <w:shd w:val="clear" w:color="auto" w:fill="FFFFFF"/>
        </w:rPr>
      </w:pPr>
      <w:r w:rsidRPr="00FB5CF7">
        <w:rPr>
          <w:rFonts w:cstheme="minorHAnsi"/>
          <w:color w:val="000000"/>
          <w:shd w:val="clear" w:color="auto" w:fill="FFFFFF"/>
        </w:rPr>
        <w:tab/>
        <w:t>Stanice Yalta</w:t>
      </w:r>
      <w:r w:rsidR="00965C7A" w:rsidRPr="00FB5CF7">
        <w:rPr>
          <w:rFonts w:cstheme="minorHAnsi"/>
          <w:color w:val="000000"/>
          <w:shd w:val="clear" w:color="auto" w:fill="FFFFFF"/>
        </w:rPr>
        <w:t>, která leží v nadmořské výšce 72 m n.</w:t>
      </w:r>
      <w:r w:rsidR="00FB5CF7">
        <w:rPr>
          <w:rFonts w:cstheme="minorHAnsi"/>
          <w:color w:val="000000"/>
          <w:shd w:val="clear" w:color="auto" w:fill="FFFFFF"/>
        </w:rPr>
        <w:t xml:space="preserve"> </w:t>
      </w:r>
      <w:r w:rsidR="00965C7A" w:rsidRPr="00FB5CF7">
        <w:rPr>
          <w:rFonts w:cstheme="minorHAnsi"/>
          <w:color w:val="000000"/>
          <w:shd w:val="clear" w:color="auto" w:fill="FFFFFF"/>
        </w:rPr>
        <w:t>m.</w:t>
      </w:r>
      <w:r w:rsidR="00CE1594" w:rsidRPr="00FB5CF7">
        <w:rPr>
          <w:rFonts w:cstheme="minorHAnsi"/>
          <w:color w:val="000000"/>
          <w:shd w:val="clear" w:color="auto" w:fill="FFFFFF"/>
        </w:rPr>
        <w:t xml:space="preserve"> a její klima se dá také označit jako oceánské. Index termické kontinentality (26,42%) by indikoval kontinentální klima, protože závisí především na </w:t>
      </w:r>
      <w:r w:rsidR="00CE1594" w:rsidRPr="00FB5CF7">
        <w:t>průměrné roční amplitudě teploty</w:t>
      </w:r>
      <w:commentRangeStart w:id="20"/>
      <w:r w:rsidR="00CE1594" w:rsidRPr="00FB5CF7">
        <w:t>, která je na Yaltě výrazná</w:t>
      </w:r>
      <w:commentRangeEnd w:id="20"/>
      <w:r w:rsidR="00BA4CBF">
        <w:rPr>
          <w:rStyle w:val="Odkaznakoment"/>
        </w:rPr>
        <w:commentReference w:id="20"/>
      </w:r>
      <w:r w:rsidR="00CE1594" w:rsidRPr="00FB5CF7">
        <w:t xml:space="preserve">. </w:t>
      </w:r>
      <w:r w:rsidR="00CE1594" w:rsidRPr="00FB5CF7">
        <w:rPr>
          <w:rFonts w:cstheme="minorHAnsi"/>
          <w:color w:val="000000"/>
          <w:shd w:val="clear" w:color="auto" w:fill="FFFFFF"/>
        </w:rPr>
        <w:t xml:space="preserve"> Ovšem index ombrické kontinentality (1,10%), už nám indikuje oceánské klima, které je na Yaltě více pravděpodobné. Doba </w:t>
      </w:r>
      <w:r w:rsidR="00CE1594" w:rsidRPr="00FB5CF7">
        <w:rPr>
          <w:rFonts w:cstheme="minorHAnsi"/>
          <w:color w:val="000000"/>
          <w:shd w:val="clear" w:color="auto" w:fill="FFFFFF"/>
        </w:rPr>
        <w:lastRenderedPageBreak/>
        <w:t>polovičních srážek (7,65) také odpovídá silně oceánické oblasti, protože přesahuje hodnotu 7.</w:t>
      </w:r>
      <w:r w:rsidR="00B147CB" w:rsidRPr="00FB5CF7">
        <w:rPr>
          <w:rFonts w:cstheme="minorHAnsi"/>
          <w:color w:val="000000"/>
          <w:shd w:val="clear" w:color="auto" w:fill="FFFFFF"/>
        </w:rPr>
        <w:t xml:space="preserve"> Stanice Yalta leží stejně jako London ve druhém kvadrantu, který znamená oceánské klima.</w:t>
      </w:r>
    </w:p>
    <w:p w:rsidR="00C06F5D" w:rsidRPr="00FB5CF7" w:rsidRDefault="00C06F5D" w:rsidP="004931D7">
      <w:pPr>
        <w:jc w:val="both"/>
      </w:pPr>
    </w:p>
    <w:p w:rsidR="00DF4F6A" w:rsidRDefault="00B77640" w:rsidP="00B147CB">
      <w:pPr>
        <w:tabs>
          <w:tab w:val="left" w:pos="2662"/>
        </w:tabs>
      </w:pPr>
      <w:r>
        <w:t>ZDROJE</w:t>
      </w:r>
    </w:p>
    <w:p w:rsidR="00B77640" w:rsidRDefault="00B77640" w:rsidP="004931D7">
      <w:pPr>
        <w:pStyle w:val="Odstavecseseznamem"/>
        <w:numPr>
          <w:ilvl w:val="0"/>
          <w:numId w:val="2"/>
        </w:numPr>
      </w:pPr>
      <w:r>
        <w:t>Climatological normals (CLINO) for the period 1961-1990. WMO, Geneva, 1996, 768 s.</w:t>
      </w:r>
    </w:p>
    <w:p w:rsidR="00EA1ABD" w:rsidRDefault="007C22C6" w:rsidP="004931D7">
      <w:pPr>
        <w:pStyle w:val="Odstavecseseznamem"/>
        <w:numPr>
          <w:ilvl w:val="0"/>
          <w:numId w:val="2"/>
        </w:numPr>
      </w:pPr>
      <w:r>
        <w:t xml:space="preserve">Is.muni.cz (2017). Klimatologické indexy – </w:t>
      </w:r>
      <w:r w:rsidR="00EA1ABD">
        <w:t>Zadání cvičení [online]. [cit. 7</w:t>
      </w:r>
      <w:r>
        <w:t>. 10. 2016]. Dostupné z:</w:t>
      </w:r>
      <w:hyperlink r:id="rId11" w:history="1">
        <w:r w:rsidR="00EA1ABD" w:rsidRPr="00DE6DD3">
          <w:rPr>
            <w:rStyle w:val="Hypertextovodkaz"/>
          </w:rPr>
          <w:t>https://is.muni.cz/auth/el/1431/podzim2017/Z0076/cviceni/klimaindexy/Indexy_zadani_2017.pdf</w:t>
        </w:r>
      </w:hyperlink>
    </w:p>
    <w:p w:rsidR="007C22C6" w:rsidRPr="0099019B" w:rsidRDefault="007C22C6" w:rsidP="0099019B"/>
    <w:sectPr w:rsidR="007C22C6" w:rsidRPr="0099019B" w:rsidSect="003C39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15T16:08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V odborném textu se nepoužívá ich forma, vhodnější je příčestí trpné</w:t>
      </w:r>
    </w:p>
  </w:comment>
  <w:comment w:id="1" w:author="Maestro" w:date="2017-10-15T16:09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Zkus popsat, jaké na těchto stanicích můžeme očekávat podmínky vzhledem k jejich pozici? Lze čekat na Sněžce vyšší srážky v létě nebo v zimě? Proč? A podobně</w:t>
      </w:r>
    </w:p>
  </w:comment>
  <w:comment w:id="2" w:author="Maestro" w:date="2017-10-15T15:33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U časového období se mezery nepoužívají, správně je 1961-1990</w:t>
      </w:r>
    </w:p>
  </w:comment>
  <w:comment w:id="3" w:author="Maestro" w:date="2017-10-15T15:30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U prvních odstavců kapitol a podkapitol se odsazení od kraje nepoužívá, až u těch dalších</w:t>
      </w:r>
    </w:p>
  </w:comment>
  <w:comment w:id="4" w:author="Maestro" w:date="2017-10-15T15:39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Jednotky na ose y musí mít stejný počet desetinných míst</w:t>
      </w:r>
    </w:p>
  </w:comment>
  <w:comment w:id="5" w:author="Maestro" w:date="2017-10-15T16:11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Proč výsledky vyšly tak jak vyšly? Jaké tlakové útvary hrají na těchto závěrech největší roli, …?</w:t>
      </w:r>
    </w:p>
  </w:comment>
  <w:comment w:id="6" w:author="Maestro" w:date="2017-10-15T15:32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Za jaké období?</w:t>
      </w:r>
    </w:p>
  </w:comment>
  <w:comment w:id="7" w:author="Maestro" w:date="2017-10-15T16:03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Doplň výpočty pro všechny stanice</w:t>
      </w:r>
    </w:p>
  </w:comment>
  <w:comment w:id="8" w:author="Maestro" w:date="2017-10-15T16:12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Čili jaký typ podnebí?</w:t>
      </w:r>
    </w:p>
  </w:comment>
  <w:comment w:id="9" w:author="Maestro" w:date="2017-10-15T15:32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Za jaké období</w:t>
      </w:r>
    </w:p>
  </w:comment>
  <w:comment w:id="10" w:author="Maestro" w:date="2017-10-15T15:31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Snaž se mít všechny grafické výstupy zarovnané na šířku textu; lépe to vypadá a i při tisku je to lepší</w:t>
      </w:r>
    </w:p>
  </w:comment>
  <w:comment w:id="11" w:author="Maestro" w:date="2017-10-15T16:03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Doplň výpočty pro všechny stanice</w:t>
      </w:r>
    </w:p>
  </w:comment>
  <w:comment w:id="12" w:author="Maestro" w:date="2017-10-15T16:13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Jakým předpokladům?</w:t>
      </w:r>
    </w:p>
  </w:comment>
  <w:comment w:id="13" w:author="Maestro" w:date="2017-10-15T16:14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Proč jsou u Yalty výsledky termického a ombrického indexu natolik rozdílné?</w:t>
      </w:r>
    </w:p>
  </w:comment>
  <w:comment w:id="14" w:author="Maestro" w:date="2017-10-15T16:15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Opravdu? Tyto klimaindexy spolu souvisí pouze tím, že pracují se srážkovými úhrny, jiná souvislost mezi nimi není</w:t>
      </w:r>
    </w:p>
  </w:comment>
  <w:comment w:id="15" w:author="Maestro" w:date="2017-10-15T15:39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Chybí popis vertikální osy</w:t>
      </w:r>
    </w:p>
  </w:comment>
  <w:comment w:id="16" w:author="Maestro" w:date="2017-10-15T16:17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Popiš i zbylé dva kvadranty, jaké by bylo klima stanic nacházejících se v těchto kvadrantech? Zkus popsat obr. 2</w:t>
      </w:r>
    </w:p>
  </w:comment>
  <w:comment w:id="17" w:author="Maestro" w:date="2017-10-15T15:31:00Z" w:initials="M">
    <w:p w:rsidR="00563F04" w:rsidRDefault="00563F04">
      <w:pPr>
        <w:pStyle w:val="Textkomente"/>
      </w:pPr>
      <w:r>
        <w:rPr>
          <w:rStyle w:val="Odkaznakoment"/>
        </w:rPr>
        <w:annotationRef/>
      </w:r>
      <w:r>
        <w:t>U této tabulky je to nevhodné zarovnání nejmarkantnější</w:t>
      </w:r>
    </w:p>
  </w:comment>
  <w:comment w:id="18" w:author="Maestro" w:date="2017-10-15T16:17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Které tabulce?</w:t>
      </w:r>
    </w:p>
  </w:comment>
  <w:comment w:id="19" w:author="Maestro" w:date="2017-10-15T16:18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Kontinentální?</w:t>
      </w:r>
    </w:p>
  </w:comment>
  <w:comment w:id="20" w:author="Maestro" w:date="2017-10-15T16:20:00Z" w:initials="M">
    <w:p w:rsidR="00BA4CBF" w:rsidRDefault="00BA4CBF">
      <w:pPr>
        <w:pStyle w:val="Textkomente"/>
      </w:pPr>
      <w:r>
        <w:rPr>
          <w:rStyle w:val="Odkaznakoment"/>
        </w:rPr>
        <w:annotationRef/>
      </w:r>
      <w:r>
        <w:t>Dokázala bys vysvětlit, proč je zde ta amplituda tak výrazná?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CD" w:rsidRDefault="009339CD" w:rsidP="00F84E73">
      <w:pPr>
        <w:spacing w:after="0" w:line="240" w:lineRule="auto"/>
      </w:pPr>
      <w:r>
        <w:separator/>
      </w:r>
    </w:p>
  </w:endnote>
  <w:endnote w:type="continuationSeparator" w:id="1">
    <w:p w:rsidR="009339CD" w:rsidRDefault="009339CD" w:rsidP="00F8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CD" w:rsidRDefault="009339CD" w:rsidP="00F84E73">
      <w:pPr>
        <w:spacing w:after="0" w:line="240" w:lineRule="auto"/>
      </w:pPr>
      <w:r>
        <w:separator/>
      </w:r>
    </w:p>
  </w:footnote>
  <w:footnote w:type="continuationSeparator" w:id="1">
    <w:p w:rsidR="009339CD" w:rsidRDefault="009339CD" w:rsidP="00F8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04" w:rsidRDefault="00563F04" w:rsidP="00F84E73">
    <w:pPr>
      <w:pStyle w:val="Zhlav"/>
      <w:jc w:val="right"/>
    </w:pPr>
    <w:r>
      <w:t>Aneta RYGLOVÁ</w:t>
    </w:r>
  </w:p>
  <w:p w:rsidR="00563F04" w:rsidRDefault="00563F04" w:rsidP="00F84E73">
    <w:pPr>
      <w:pStyle w:val="Zhlav"/>
      <w:jc w:val="right"/>
    </w:pPr>
    <w:r>
      <w:t>457430</w:t>
    </w:r>
  </w:p>
  <w:p w:rsidR="00563F04" w:rsidRDefault="00563F04" w:rsidP="00F84E73">
    <w:pPr>
      <w:pStyle w:val="Zhlav"/>
      <w:jc w:val="right"/>
    </w:pPr>
    <w:r>
      <w:t>B-GK KART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457"/>
    <w:multiLevelType w:val="hybridMultilevel"/>
    <w:tmpl w:val="FBB2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A4AD2"/>
    <w:multiLevelType w:val="hybridMultilevel"/>
    <w:tmpl w:val="F9781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FC"/>
    <w:rsid w:val="0007041F"/>
    <w:rsid w:val="000A6D0A"/>
    <w:rsid w:val="000B000F"/>
    <w:rsid w:val="001561E8"/>
    <w:rsid w:val="00170E95"/>
    <w:rsid w:val="00174A00"/>
    <w:rsid w:val="00195EB5"/>
    <w:rsid w:val="001C4CFB"/>
    <w:rsid w:val="001D79CF"/>
    <w:rsid w:val="001E7F13"/>
    <w:rsid w:val="00214D34"/>
    <w:rsid w:val="00225A12"/>
    <w:rsid w:val="00251490"/>
    <w:rsid w:val="00256DBF"/>
    <w:rsid w:val="00265D67"/>
    <w:rsid w:val="00275630"/>
    <w:rsid w:val="0030517D"/>
    <w:rsid w:val="00381FFD"/>
    <w:rsid w:val="00384FC3"/>
    <w:rsid w:val="0038525A"/>
    <w:rsid w:val="003C39E4"/>
    <w:rsid w:val="004348DB"/>
    <w:rsid w:val="00442AC5"/>
    <w:rsid w:val="004931D7"/>
    <w:rsid w:val="004D64BA"/>
    <w:rsid w:val="004E055F"/>
    <w:rsid w:val="004E1F16"/>
    <w:rsid w:val="004F4EF8"/>
    <w:rsid w:val="005021A2"/>
    <w:rsid w:val="0050584C"/>
    <w:rsid w:val="00542D89"/>
    <w:rsid w:val="00563F04"/>
    <w:rsid w:val="0056725E"/>
    <w:rsid w:val="0057458E"/>
    <w:rsid w:val="005A16C8"/>
    <w:rsid w:val="00604D1F"/>
    <w:rsid w:val="00637A8D"/>
    <w:rsid w:val="00690C6D"/>
    <w:rsid w:val="006B17FC"/>
    <w:rsid w:val="00720483"/>
    <w:rsid w:val="00727FE9"/>
    <w:rsid w:val="00753885"/>
    <w:rsid w:val="00790F7F"/>
    <w:rsid w:val="007C22C6"/>
    <w:rsid w:val="007D5752"/>
    <w:rsid w:val="007D74B8"/>
    <w:rsid w:val="0083365B"/>
    <w:rsid w:val="00852F5E"/>
    <w:rsid w:val="0087554E"/>
    <w:rsid w:val="008D3B71"/>
    <w:rsid w:val="008D7E57"/>
    <w:rsid w:val="0091007E"/>
    <w:rsid w:val="00927F2A"/>
    <w:rsid w:val="009339CD"/>
    <w:rsid w:val="00947283"/>
    <w:rsid w:val="00965C7A"/>
    <w:rsid w:val="0099019B"/>
    <w:rsid w:val="009A7CE6"/>
    <w:rsid w:val="009F49BC"/>
    <w:rsid w:val="00A73690"/>
    <w:rsid w:val="00AE0ED0"/>
    <w:rsid w:val="00B108A4"/>
    <w:rsid w:val="00B147CB"/>
    <w:rsid w:val="00B26F32"/>
    <w:rsid w:val="00B468A0"/>
    <w:rsid w:val="00B77640"/>
    <w:rsid w:val="00B87BDD"/>
    <w:rsid w:val="00BA4CBF"/>
    <w:rsid w:val="00BC2AA9"/>
    <w:rsid w:val="00BE089F"/>
    <w:rsid w:val="00C06F5D"/>
    <w:rsid w:val="00C26DCE"/>
    <w:rsid w:val="00C37658"/>
    <w:rsid w:val="00C42861"/>
    <w:rsid w:val="00C455CF"/>
    <w:rsid w:val="00CE1594"/>
    <w:rsid w:val="00DE4B5D"/>
    <w:rsid w:val="00DF4F6A"/>
    <w:rsid w:val="00E06222"/>
    <w:rsid w:val="00E770C1"/>
    <w:rsid w:val="00EA1ABD"/>
    <w:rsid w:val="00EA3B1C"/>
    <w:rsid w:val="00EC1664"/>
    <w:rsid w:val="00EF7E6B"/>
    <w:rsid w:val="00F27D04"/>
    <w:rsid w:val="00F8163C"/>
    <w:rsid w:val="00F84E73"/>
    <w:rsid w:val="00FB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8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E73"/>
  </w:style>
  <w:style w:type="paragraph" w:styleId="Zpat">
    <w:name w:val="footer"/>
    <w:basedOn w:val="Normln"/>
    <w:link w:val="ZpatChar"/>
    <w:uiPriority w:val="99"/>
    <w:semiHidden/>
    <w:unhideWhenUsed/>
    <w:rsid w:val="00F8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4E73"/>
  </w:style>
  <w:style w:type="table" w:styleId="Mkatabulky">
    <w:name w:val="Table Grid"/>
    <w:basedOn w:val="Normlntabulka"/>
    <w:uiPriority w:val="59"/>
    <w:rsid w:val="00DF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6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F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E7F1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A1AB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7F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F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F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F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auth/el/1431/podzim2017/Z0076/cviceni/klimaindexy/Indexy_zadani_2017.pdf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List1!$A$2</c:f>
              <c:strCache>
                <c:ptCount val="1"/>
                <c:pt idx="0">
                  <c:v>Sniezka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List1!$B$2:$M$2</c:f>
              <c:numCache>
                <c:formatCode>General</c:formatCode>
                <c:ptCount val="12"/>
                <c:pt idx="0">
                  <c:v>0.83000000000000063</c:v>
                </c:pt>
                <c:pt idx="1">
                  <c:v>0.86000000000000065</c:v>
                </c:pt>
                <c:pt idx="2">
                  <c:v>0.83000000000000063</c:v>
                </c:pt>
                <c:pt idx="3">
                  <c:v>0.99</c:v>
                </c:pt>
                <c:pt idx="4">
                  <c:v>1.1700000000000019</c:v>
                </c:pt>
                <c:pt idx="5">
                  <c:v>1.34</c:v>
                </c:pt>
                <c:pt idx="6">
                  <c:v>1.31</c:v>
                </c:pt>
                <c:pt idx="7">
                  <c:v>1.25</c:v>
                </c:pt>
                <c:pt idx="8">
                  <c:v>0.81</c:v>
                </c:pt>
                <c:pt idx="9">
                  <c:v>0.72000000000000064</c:v>
                </c:pt>
                <c:pt idx="10">
                  <c:v>0.98</c:v>
                </c:pt>
                <c:pt idx="1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London/Gatwick Airp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List1!$B$3:$M$3</c:f>
              <c:numCache>
                <c:formatCode>General</c:formatCode>
                <c:ptCount val="12"/>
                <c:pt idx="0">
                  <c:v>1.24</c:v>
                </c:pt>
                <c:pt idx="1">
                  <c:v>0.81</c:v>
                </c:pt>
                <c:pt idx="2">
                  <c:v>0.97000000000000053</c:v>
                </c:pt>
                <c:pt idx="3">
                  <c:v>0.86000000000000065</c:v>
                </c:pt>
                <c:pt idx="4">
                  <c:v>0.88000000000000045</c:v>
                </c:pt>
                <c:pt idx="5">
                  <c:v>0.91</c:v>
                </c:pt>
                <c:pt idx="6">
                  <c:v>0.72000000000000064</c:v>
                </c:pt>
                <c:pt idx="7">
                  <c:v>0.89000000000000057</c:v>
                </c:pt>
                <c:pt idx="8">
                  <c:v>1.08</c:v>
                </c:pt>
                <c:pt idx="9">
                  <c:v>1.1599999999999977</c:v>
                </c:pt>
                <c:pt idx="10">
                  <c:v>1.23</c:v>
                </c:pt>
                <c:pt idx="11">
                  <c:v>1.26</c:v>
                </c:pt>
              </c:numCache>
            </c:numRef>
          </c:val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Yalta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List1!$B$4:$M$4</c:f>
              <c:numCache>
                <c:formatCode>General</c:formatCode>
                <c:ptCount val="12"/>
                <c:pt idx="0">
                  <c:v>1.6</c:v>
                </c:pt>
                <c:pt idx="1">
                  <c:v>1.23</c:v>
                </c:pt>
                <c:pt idx="2">
                  <c:v>0.87000000000000099</c:v>
                </c:pt>
                <c:pt idx="3">
                  <c:v>0.68000000000000083</c:v>
                </c:pt>
                <c:pt idx="4">
                  <c:v>0.68000000000000083</c:v>
                </c:pt>
                <c:pt idx="5">
                  <c:v>0.87000000000000099</c:v>
                </c:pt>
                <c:pt idx="6">
                  <c:v>0.69000000000000083</c:v>
                </c:pt>
                <c:pt idx="7">
                  <c:v>0.68000000000000083</c:v>
                </c:pt>
                <c:pt idx="8">
                  <c:v>0.83000000000000063</c:v>
                </c:pt>
                <c:pt idx="9">
                  <c:v>0.73000000000000065</c:v>
                </c:pt>
                <c:pt idx="10">
                  <c:v>1.31</c:v>
                </c:pt>
                <c:pt idx="11">
                  <c:v>1.83</c:v>
                </c:pt>
              </c:numCache>
            </c:numRef>
          </c:val>
        </c:ser>
        <c:marker val="1"/>
        <c:axId val="55950336"/>
        <c:axId val="84890368"/>
      </c:lineChart>
      <c:catAx>
        <c:axId val="55950336"/>
        <c:scaling>
          <c:orientation val="minMax"/>
        </c:scaling>
        <c:axPos val="b"/>
        <c:majorTickMark val="none"/>
        <c:tickLblPos val="nextTo"/>
        <c:crossAx val="84890368"/>
        <c:crosses val="autoZero"/>
        <c:auto val="1"/>
        <c:lblAlgn val="ctr"/>
        <c:lblOffset val="100"/>
      </c:catAx>
      <c:valAx>
        <c:axId val="84890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pluviometrický koeficient</a:t>
                </a:r>
              </a:p>
            </c:rich>
          </c:tx>
        </c:title>
        <c:numFmt formatCode="General" sourceLinked="1"/>
        <c:tickLblPos val="nextTo"/>
        <c:crossAx val="5595033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radarChart>
        <c:radarStyle val="marker"/>
        <c:ser>
          <c:idx val="0"/>
          <c:order val="0"/>
          <c:tx>
            <c:strRef>
              <c:f>List1!$A$13</c:f>
              <c:strCache>
                <c:ptCount val="1"/>
                <c:pt idx="0">
                  <c:v>Sniezka</c:v>
                </c:pt>
              </c:strCache>
            </c:strRef>
          </c:tx>
          <c:marker>
            <c:symbol val="none"/>
          </c:marker>
          <c:cat>
            <c:strRef>
              <c:f>List1!$B$12:$M$12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List1!$B$13:$M$13</c:f>
              <c:numCache>
                <c:formatCode>General</c:formatCode>
                <c:ptCount val="12"/>
                <c:pt idx="0">
                  <c:v>87</c:v>
                </c:pt>
                <c:pt idx="1">
                  <c:v>91</c:v>
                </c:pt>
                <c:pt idx="2">
                  <c:v>87</c:v>
                </c:pt>
                <c:pt idx="3">
                  <c:v>104</c:v>
                </c:pt>
                <c:pt idx="4">
                  <c:v>123</c:v>
                </c:pt>
                <c:pt idx="5">
                  <c:v>141</c:v>
                </c:pt>
                <c:pt idx="6">
                  <c:v>138</c:v>
                </c:pt>
                <c:pt idx="7">
                  <c:v>132</c:v>
                </c:pt>
                <c:pt idx="8">
                  <c:v>85</c:v>
                </c:pt>
                <c:pt idx="9">
                  <c:v>76</c:v>
                </c:pt>
                <c:pt idx="10">
                  <c:v>103</c:v>
                </c:pt>
                <c:pt idx="11">
                  <c:v>96</c:v>
                </c:pt>
              </c:numCache>
            </c:numRef>
          </c:val>
        </c:ser>
        <c:ser>
          <c:idx val="1"/>
          <c:order val="1"/>
          <c:tx>
            <c:strRef>
              <c:f>List1!$A$14</c:f>
              <c:strCache>
                <c:ptCount val="1"/>
                <c:pt idx="0">
                  <c:v>London/Gatwick Airp</c:v>
                </c:pt>
              </c:strCache>
            </c:strRef>
          </c:tx>
          <c:marker>
            <c:symbol val="none"/>
          </c:marker>
          <c:cat>
            <c:strRef>
              <c:f>List1!$B$12:$M$12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List1!$B$14:$M$14</c:f>
              <c:numCache>
                <c:formatCode>General</c:formatCode>
                <c:ptCount val="12"/>
                <c:pt idx="0">
                  <c:v>78</c:v>
                </c:pt>
                <c:pt idx="1">
                  <c:v>51</c:v>
                </c:pt>
                <c:pt idx="2">
                  <c:v>61</c:v>
                </c:pt>
                <c:pt idx="3">
                  <c:v>54</c:v>
                </c:pt>
                <c:pt idx="4">
                  <c:v>55</c:v>
                </c:pt>
                <c:pt idx="5">
                  <c:v>57</c:v>
                </c:pt>
                <c:pt idx="6">
                  <c:v>45</c:v>
                </c:pt>
                <c:pt idx="7">
                  <c:v>56</c:v>
                </c:pt>
                <c:pt idx="8">
                  <c:v>68</c:v>
                </c:pt>
                <c:pt idx="9">
                  <c:v>73</c:v>
                </c:pt>
                <c:pt idx="10">
                  <c:v>77</c:v>
                </c:pt>
                <c:pt idx="11">
                  <c:v>79</c:v>
                </c:pt>
              </c:numCache>
            </c:numRef>
          </c:val>
        </c:ser>
        <c:ser>
          <c:idx val="2"/>
          <c:order val="2"/>
          <c:tx>
            <c:strRef>
              <c:f>List1!$A$15</c:f>
              <c:strCache>
                <c:ptCount val="1"/>
                <c:pt idx="0">
                  <c:v>Yalta</c:v>
                </c:pt>
              </c:strCache>
            </c:strRef>
          </c:tx>
          <c:marker>
            <c:symbol val="none"/>
          </c:marker>
          <c:cat>
            <c:strRef>
              <c:f>List1!$B$12:$M$12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List1!$B$15:$M$15</c:f>
              <c:numCache>
                <c:formatCode>General</c:formatCode>
                <c:ptCount val="12"/>
                <c:pt idx="0">
                  <c:v>83</c:v>
                </c:pt>
                <c:pt idx="1">
                  <c:v>64</c:v>
                </c:pt>
                <c:pt idx="2">
                  <c:v>45</c:v>
                </c:pt>
                <c:pt idx="3">
                  <c:v>35</c:v>
                </c:pt>
                <c:pt idx="4">
                  <c:v>35</c:v>
                </c:pt>
                <c:pt idx="5">
                  <c:v>45</c:v>
                </c:pt>
                <c:pt idx="6">
                  <c:v>36</c:v>
                </c:pt>
                <c:pt idx="7">
                  <c:v>35</c:v>
                </c:pt>
                <c:pt idx="8">
                  <c:v>43</c:v>
                </c:pt>
                <c:pt idx="9">
                  <c:v>38</c:v>
                </c:pt>
                <c:pt idx="10">
                  <c:v>68</c:v>
                </c:pt>
                <c:pt idx="11">
                  <c:v>95</c:v>
                </c:pt>
              </c:numCache>
            </c:numRef>
          </c:val>
        </c:ser>
        <c:axId val="84907904"/>
        <c:axId val="84909440"/>
      </c:radarChart>
      <c:catAx>
        <c:axId val="84907904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crossAx val="84909440"/>
        <c:crosses val="autoZero"/>
        <c:auto val="1"/>
        <c:lblAlgn val="ctr"/>
        <c:lblOffset val="100"/>
      </c:catAx>
      <c:valAx>
        <c:axId val="84909440"/>
        <c:scaling>
          <c:orientation val="minMax"/>
        </c:scaling>
        <c:axPos val="l"/>
        <c:majorGridlines/>
        <c:numFmt formatCode="General" sourceLinked="1"/>
        <c:tickLblPos val="nextTo"/>
        <c:crossAx val="8490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688808347903064"/>
          <c:y val="0.73256002144624921"/>
          <c:w val="0.2657876113620794"/>
          <c:h val="0.20742663699104141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lineMarker"/>
        <c:ser>
          <c:idx val="0"/>
          <c:order val="0"/>
          <c:tx>
            <c:strRef>
              <c:f>List1!$A$21</c:f>
              <c:strCache>
                <c:ptCount val="1"/>
                <c:pt idx="0">
                  <c:v>Sniezka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8"/>
          </c:marker>
          <c:xVal>
            <c:numRef>
              <c:f>List1!$B$21</c:f>
              <c:numCache>
                <c:formatCode>General</c:formatCode>
                <c:ptCount val="1"/>
                <c:pt idx="0">
                  <c:v>3.8840000000000006E-2</c:v>
                </c:pt>
              </c:numCache>
            </c:numRef>
          </c:xVal>
          <c:yVal>
            <c:numRef>
              <c:f>List1!$C$21</c:f>
              <c:numCache>
                <c:formatCode>General</c:formatCode>
                <c:ptCount val="1"/>
                <c:pt idx="0">
                  <c:v>-0.11058999999999984</c:v>
                </c:pt>
              </c:numCache>
            </c:numRef>
          </c:yVal>
        </c:ser>
        <c:ser>
          <c:idx val="1"/>
          <c:order val="1"/>
          <c:tx>
            <c:strRef>
              <c:f>List1!$A$22</c:f>
              <c:strCache>
                <c:ptCount val="1"/>
                <c:pt idx="0">
                  <c:v>London/Gatwick Airp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square"/>
              <c:size val="8"/>
            </c:marker>
          </c:dPt>
          <c:xVal>
            <c:numRef>
              <c:f>List1!$B$22</c:f>
              <c:numCache>
                <c:formatCode>General</c:formatCode>
                <c:ptCount val="1"/>
                <c:pt idx="0">
                  <c:v>-4.6550000000000001E-2</c:v>
                </c:pt>
              </c:numCache>
            </c:numRef>
          </c:xVal>
          <c:yVal>
            <c:numRef>
              <c:f>List1!$C$22</c:f>
              <c:numCache>
                <c:formatCode>General</c:formatCode>
                <c:ptCount val="1"/>
                <c:pt idx="0">
                  <c:v>8.527000000000004E-2</c:v>
                </c:pt>
              </c:numCache>
            </c:numRef>
          </c:yVal>
        </c:ser>
        <c:ser>
          <c:idx val="2"/>
          <c:order val="2"/>
          <c:tx>
            <c:strRef>
              <c:f>List1!$A$23</c:f>
              <c:strCache>
                <c:ptCount val="1"/>
                <c:pt idx="0">
                  <c:v>Yalta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8"/>
          </c:marker>
          <c:xVal>
            <c:numRef>
              <c:f>List1!$B$23</c:f>
              <c:numCache>
                <c:formatCode>General</c:formatCode>
                <c:ptCount val="1"/>
                <c:pt idx="0">
                  <c:v>-6.4860000000000126E-2</c:v>
                </c:pt>
              </c:numCache>
            </c:numRef>
          </c:xVal>
          <c:yVal>
            <c:numRef>
              <c:f>List1!$C$23</c:f>
              <c:numCache>
                <c:formatCode>General</c:formatCode>
                <c:ptCount val="1"/>
                <c:pt idx="0">
                  <c:v>0.21230000000000004</c:v>
                </c:pt>
              </c:numCache>
            </c:numRef>
          </c:yVal>
        </c:ser>
        <c:axId val="104890752"/>
        <c:axId val="104892288"/>
      </c:scatterChart>
      <c:valAx>
        <c:axId val="104890752"/>
        <c:scaling>
          <c:orientation val="minMax"/>
        </c:scaling>
        <c:axPos val="b"/>
        <c:numFmt formatCode="General" sourceLinked="1"/>
        <c:tickLblPos val="nextTo"/>
        <c:crossAx val="104892288"/>
        <c:crosses val="autoZero"/>
        <c:crossBetween val="midCat"/>
        <c:majorUnit val="0.1"/>
      </c:valAx>
      <c:valAx>
        <c:axId val="104892288"/>
        <c:scaling>
          <c:orientation val="minMax"/>
        </c:scaling>
        <c:axPos val="l"/>
        <c:numFmt formatCode="General" sourceLinked="1"/>
        <c:tickLblPos val="nextTo"/>
        <c:crossAx val="104890752"/>
        <c:crosses val="autoZero"/>
        <c:crossBetween val="midCat"/>
        <c:majorUnit val="0.1"/>
      </c:valAx>
    </c:plotArea>
    <c:legend>
      <c:legendPos val="r"/>
    </c:legend>
    <c:plotVisOnly val="1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0.46812</cdr:x>
      <cdr:y>0.08</cdr:y>
    </cdr:from>
    <cdr:to>
      <cdr:x>0.64299</cdr:x>
      <cdr:y>0.176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447926" y="285751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 b="1"/>
            <a:t>I. kvadrant</a:t>
          </a:r>
        </a:p>
      </cdr:txBody>
    </cdr:sp>
  </cdr:relSizeAnchor>
  <cdr:relSizeAnchor xmlns:cdr="http://schemas.openxmlformats.org/drawingml/2006/chartDrawing">
    <cdr:from>
      <cdr:x>0.04554</cdr:x>
      <cdr:y>0.08267</cdr:y>
    </cdr:from>
    <cdr:to>
      <cdr:x>0.2204</cdr:x>
      <cdr:y>0.17867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238125" y="295275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cs-CZ" sz="1100" b="1"/>
            <a:t>II. kvadrant</a:t>
          </a:r>
        </a:p>
      </cdr:txBody>
    </cdr:sp>
  </cdr:relSizeAnchor>
  <cdr:relSizeAnchor xmlns:cdr="http://schemas.openxmlformats.org/drawingml/2006/chartDrawing">
    <cdr:from>
      <cdr:x>0.05829</cdr:x>
      <cdr:y>0.82933</cdr:y>
    </cdr:from>
    <cdr:to>
      <cdr:x>0.23315</cdr:x>
      <cdr:y>0.92533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304800" y="2962275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cs-CZ" sz="1100" b="1"/>
            <a:t>III. kvadrant</a:t>
          </a:r>
        </a:p>
      </cdr:txBody>
    </cdr:sp>
  </cdr:relSizeAnchor>
  <cdr:relSizeAnchor xmlns:cdr="http://schemas.openxmlformats.org/drawingml/2006/chartDrawing">
    <cdr:from>
      <cdr:x>0.47177</cdr:x>
      <cdr:y>0.824</cdr:y>
    </cdr:from>
    <cdr:to>
      <cdr:x>0.64663</cdr:x>
      <cdr:y>0.92</cdr:y>
    </cdr:to>
    <cdr:sp macro="" textlink="">
      <cdr:nvSpPr>
        <cdr:cNvPr id="5" name="TextovéPole 1"/>
        <cdr:cNvSpPr txBox="1"/>
      </cdr:nvSpPr>
      <cdr:spPr>
        <a:xfrm xmlns:a="http://schemas.openxmlformats.org/drawingml/2006/main">
          <a:off x="2466975" y="2943225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cs-CZ" sz="1100" b="1"/>
            <a:t>IV. kvadrant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1723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Maestro</cp:lastModifiedBy>
  <cp:revision>34</cp:revision>
  <dcterms:created xsi:type="dcterms:W3CDTF">2017-09-28T13:40:00Z</dcterms:created>
  <dcterms:modified xsi:type="dcterms:W3CDTF">2017-10-06T11:27:00Z</dcterms:modified>
</cp:coreProperties>
</file>