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7A" w:rsidRDefault="0089627A">
      <w:pPr>
        <w:pStyle w:val="Nadpis1"/>
      </w:pPr>
      <w:r>
        <w:t>Téma P08: Laboratorní diagnostika tuberkulózy a infekcí způsobených aktinomycetami, nokardiemi a spirochetami</w:t>
      </w:r>
    </w:p>
    <w:p w:rsidR="0089627A" w:rsidRDefault="0089627A">
      <w:r>
        <w:rPr>
          <w:b/>
        </w:rPr>
        <w:t>Ke studiu:</w:t>
      </w:r>
      <w:r w:rsidRPr="00401DF8">
        <w:rPr>
          <w:i/>
        </w:rPr>
        <w:t xml:space="preserve">Mycobacterium, Actinomyces, Nocardia, Borrelia, Treponema, Leptospira </w:t>
      </w:r>
      <w:r>
        <w:t>(učebnice, WWW atd.)</w:t>
      </w:r>
      <w:r w:rsidR="00FB1A9B">
        <w:t>; m</w:t>
      </w:r>
      <w:r>
        <w:t>ikroskopie, kultivace, antimikrobiální citlivost, PCR, metody průkazu protilátek</w:t>
      </w:r>
    </w:p>
    <w:p w:rsidR="0089627A" w:rsidRDefault="0089627A">
      <w:pPr>
        <w:pStyle w:val="Nadpis2"/>
      </w:pPr>
      <w:r>
        <w:t xml:space="preserve">Ú 08/1: Mikroskopie acidorezistentních a </w:t>
      </w:r>
      <w:r w:rsidR="00516422">
        <w:t>vláknitých</w:t>
      </w:r>
      <w:r>
        <w:t xml:space="preserve"> mikroorganismů</w:t>
      </w:r>
    </w:p>
    <w:p w:rsidR="00317664" w:rsidRDefault="00317664" w:rsidP="00317664">
      <w:r>
        <w:t>Zatímco acidorezistentní mikroorganismy (</w:t>
      </w:r>
      <w:r>
        <w:rPr>
          <w:i/>
        </w:rPr>
        <w:t>Mycobacterium</w:t>
      </w:r>
      <w:r>
        <w:t>) nelze barvit dle Grama, mikroby acidorezistentní pouze částečně (</w:t>
      </w:r>
      <w:r>
        <w:rPr>
          <w:i/>
        </w:rPr>
        <w:t>Nocardia</w:t>
      </w:r>
      <w:r>
        <w:t>) nebo vůbec (</w:t>
      </w:r>
      <w:r>
        <w:rPr>
          <w:i/>
        </w:rPr>
        <w:t>Actinomyces</w:t>
      </w:r>
      <w:r>
        <w:t>) mohou být Gramem obarveny</w:t>
      </w:r>
      <w:r w:rsidR="00516422">
        <w:t>. Nokardie a aktinomycety mají podobu grampozitivních větvených vláken, ale často vidíme i kratší tyčinky nebo dokonce koky.</w:t>
      </w:r>
    </w:p>
    <w:p w:rsidR="0089627A" w:rsidRDefault="0089627A">
      <w:pPr>
        <w:pStyle w:val="Nadpis2"/>
      </w:pPr>
      <w:r>
        <w:t xml:space="preserve">a) Barvení (negativního) klinického </w:t>
      </w:r>
      <w:r w:rsidR="00475405">
        <w:t>vzorku</w:t>
      </w:r>
      <w:r>
        <w:t xml:space="preserve"> barvicí metodou dle Ziehl-Neelsena</w:t>
      </w:r>
    </w:p>
    <w:p w:rsidR="0089627A" w:rsidRDefault="0089627A">
      <w:r>
        <w:t>Ziehl-Neelsenovo barvení se používá u mykobakterií (</w:t>
      </w:r>
      <w:r>
        <w:rPr>
          <w:i/>
        </w:rPr>
        <w:t>M. tuberculosis,</w:t>
      </w:r>
      <w:r w:rsidR="00207EBF">
        <w:rPr>
          <w:i/>
        </w:rPr>
        <w:t xml:space="preserve"> </w:t>
      </w:r>
      <w:r>
        <w:rPr>
          <w:i/>
        </w:rPr>
        <w:t>M. leprae</w:t>
      </w:r>
      <w:r>
        <w:t xml:space="preserve">), ale </w:t>
      </w:r>
      <w:r w:rsidR="00516422">
        <w:t>zejména ve „studené“ variantě dle Kinyouna</w:t>
      </w:r>
      <w:r>
        <w:t>také u některých parazitů (</w:t>
      </w:r>
      <w:r>
        <w:rPr>
          <w:i/>
        </w:rPr>
        <w:t>Cryptosporidium parvum</w:t>
      </w:r>
      <w:r>
        <w:t xml:space="preserve">, </w:t>
      </w:r>
      <w:r>
        <w:rPr>
          <w:i/>
        </w:rPr>
        <w:t>Cyclospora cayetanensis</w:t>
      </w:r>
      <w:r>
        <w:t>). Acidorezistentní organismy se barví pouze při zahřátí</w:t>
      </w:r>
      <w:r w:rsidR="00475405">
        <w:t xml:space="preserve"> (nebo ve „studené“ variantě při použití vysoce koncentrovaného karbolfuchsinu a vysoce koncentrovaného fenolu). Z</w:t>
      </w:r>
      <w:r>
        <w:t>ato je pak neodbarví ani kyselý alkohol (alkohol s </w:t>
      </w:r>
      <w:r w:rsidR="00475405">
        <w:t>anorganickou</w:t>
      </w:r>
      <w:r>
        <w:t xml:space="preserve"> kyselinou). Poté je odbarvené pozadí obarveno kontrastní barvou.</w:t>
      </w:r>
    </w:p>
    <w:p w:rsidR="0089627A" w:rsidRDefault="0089627A">
      <w:r>
        <w:t>Z časových důvodů nebudete barvení provádět. Popište však alespoň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843"/>
        <w:gridCol w:w="2583"/>
      </w:tblGrid>
      <w:tr w:rsidR="0089627A">
        <w:tc>
          <w:tcPr>
            <w:tcW w:w="2518" w:type="dxa"/>
          </w:tcPr>
          <w:p w:rsidR="0089627A" w:rsidRDefault="0089627A">
            <w:r>
              <w:t>1.</w:t>
            </w:r>
          </w:p>
          <w:p w:rsidR="0089627A" w:rsidRDefault="0089627A"/>
        </w:tc>
        <w:tc>
          <w:tcPr>
            <w:tcW w:w="6694" w:type="dxa"/>
            <w:gridSpan w:val="3"/>
          </w:tcPr>
          <w:p w:rsidR="0089627A" w:rsidRDefault="0089627A">
            <w:r>
              <w:t>Během barvení se preparát                            , dokud</w:t>
            </w:r>
          </w:p>
        </w:tc>
      </w:tr>
      <w:tr w:rsidR="0089627A">
        <w:tc>
          <w:tcPr>
            <w:tcW w:w="2518" w:type="dxa"/>
          </w:tcPr>
          <w:p w:rsidR="0089627A" w:rsidRDefault="0089627A">
            <w:r>
              <w:t>2.</w:t>
            </w:r>
          </w:p>
          <w:p w:rsidR="0089627A" w:rsidRDefault="0089627A"/>
        </w:tc>
        <w:tc>
          <w:tcPr>
            <w:tcW w:w="2268" w:type="dxa"/>
          </w:tcPr>
          <w:p w:rsidR="0089627A" w:rsidRDefault="0089627A">
            <w:r>
              <w:t>Činidlo je směsí</w:t>
            </w:r>
          </w:p>
        </w:tc>
        <w:tc>
          <w:tcPr>
            <w:tcW w:w="4426" w:type="dxa"/>
            <w:gridSpan w:val="2"/>
          </w:tcPr>
          <w:p w:rsidR="0089627A" w:rsidRDefault="0089627A">
            <w:r>
              <w:t xml:space="preserve">                                         a</w:t>
            </w:r>
          </w:p>
        </w:tc>
      </w:tr>
      <w:tr w:rsidR="0089627A">
        <w:tc>
          <w:tcPr>
            <w:tcW w:w="2518" w:type="dxa"/>
          </w:tcPr>
          <w:p w:rsidR="0089627A" w:rsidRDefault="0089627A">
            <w:r>
              <w:t>3.</w:t>
            </w:r>
          </w:p>
          <w:p w:rsidR="0089627A" w:rsidRDefault="0089627A"/>
        </w:tc>
        <w:tc>
          <w:tcPr>
            <w:tcW w:w="4111" w:type="dxa"/>
            <w:gridSpan w:val="2"/>
          </w:tcPr>
          <w:p w:rsidR="0089627A" w:rsidRDefault="0089627A">
            <w:r>
              <w:t>Místo tohoto barviva lze použít také</w:t>
            </w:r>
          </w:p>
        </w:tc>
        <w:tc>
          <w:tcPr>
            <w:tcW w:w="2583" w:type="dxa"/>
          </w:tcPr>
          <w:p w:rsidR="0089627A" w:rsidRDefault="0089627A"/>
        </w:tc>
      </w:tr>
    </w:tbl>
    <w:p w:rsidR="0089627A" w:rsidRDefault="0089627A"/>
    <w:p w:rsidR="0089627A" w:rsidRDefault="0089627A">
      <w:pPr>
        <w:pStyle w:val="Nadpis2"/>
      </w:pPr>
      <w:r>
        <w:t xml:space="preserve">b) Mikroskopie mykobakteriální kultury </w:t>
      </w:r>
      <w:r w:rsidR="00E4148C">
        <w:rPr>
          <w:noProof/>
        </w:rPr>
        <w:pict>
          <v:rect id="Rectangle 197" o:spid="_x0000_s1026" style="position:absolute;left:0;text-align:left;margin-left:248.2pt;margin-top:4pt;width:207pt;height:90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zct2JIwIAAEA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E4148C">
        <w:rPr>
          <w:noProof/>
        </w:rPr>
        <w:pict>
          <v:oval id="Oval 198" o:spid="_x0000_s1032" style="position:absolute;left:0;text-align:left;margin-left:257.2pt;margin-top:4pt;width:99pt;height:90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COaKXgcAgAAMQQAAA4AAAAAAAAAAAAAAAAALgIAAGRycy9lMm9Eb2MueG1sUEsBAi0A&#10;FAAGAAgAAAAhAPqc+J7dAAAACQEAAA8AAAAAAAAAAAAAAAAAdgQAAGRycy9kb3ducmV2LnhtbFBL&#10;BQYAAAAABAAEAPMAAACABQAAAAA=&#10;"/>
        </w:pict>
      </w:r>
      <w:r w:rsidR="00E414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9" o:spid="_x0000_s1031" type="#_x0000_t202" style="position:absolute;left:0;text-align:left;margin-left:356.2pt;margin-top:4pt;width:99pt;height:1in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c/sw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" filled="f" stroked="f">
            <v:textbox>
              <w:txbxContent>
                <w:p w:rsidR="0089627A" w:rsidRDefault="0089627A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89627A" w:rsidRDefault="0089627A">
      <w:r>
        <w:t>Prohlédněte si v mikroskopu (imerze, imerzní objektiv) mykobakteriální kulturu barvenou dle Ziehl-Neelsena. Zaznamenejte zejména přítomnost acidorezistentních tyčinek. Zakreslete pozorované.</w:t>
      </w:r>
    </w:p>
    <w:p w:rsidR="0089627A" w:rsidRDefault="0089627A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89627A" w:rsidRDefault="0089627A"/>
    <w:p w:rsidR="0089627A" w:rsidRDefault="0089627A"/>
    <w:p w:rsidR="0089627A" w:rsidRDefault="0089627A">
      <w:pPr>
        <w:pStyle w:val="Nadpis2"/>
      </w:pPr>
      <w:r>
        <w:t>c) Mikroskopie kmenů aktinomycet a nokardií</w:t>
      </w:r>
      <w:r w:rsidR="00E4148C">
        <w:rPr>
          <w:noProof/>
        </w:rPr>
        <w:pict>
          <v:rect id="Rectangle 217" o:spid="_x0000_s1030" style="position:absolute;left:0;text-align:left;margin-left:248.2pt;margin-top:4pt;width:207pt;height:90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sZIg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">
            <w10:wrap type="square"/>
          </v:rect>
        </w:pict>
      </w:r>
      <w:r w:rsidR="00E4148C">
        <w:rPr>
          <w:noProof/>
        </w:rPr>
        <w:pict>
          <v:oval id="Oval 218" o:spid="_x0000_s1029" style="position:absolute;left:0;text-align:left;margin-left:257.2pt;margin-top:4pt;width:99pt;height:90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"/>
        </w:pict>
      </w:r>
      <w:r w:rsidR="00E4148C">
        <w:rPr>
          <w:noProof/>
        </w:rPr>
        <w:pict>
          <v:shape id="Text Box 219" o:spid="_x0000_s1027" type="#_x0000_t202" style="position:absolute;left:0;text-align:left;margin-left:356.2pt;margin-top:4pt;width:99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fh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A5DR+G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89627A" w:rsidRDefault="0089627A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89627A" w:rsidRDefault="0089627A">
      <w:r>
        <w:t xml:space="preserve">Prohlédněte si mikroskopicky Gramem barvené sklíčko. Popište a zakreslete pozorované objekty. Povšimněte si velkého polymorfismu organismů (od kokovitého tvaru přes tyčinky až po vlákna, často větvená); grampozitivní, ale často až gramlabilní). </w:t>
      </w:r>
    </w:p>
    <w:p w:rsidR="0089627A" w:rsidRDefault="0089627A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89627A" w:rsidRDefault="0089627A"/>
    <w:p w:rsidR="0089627A" w:rsidRDefault="0089627A">
      <w:pPr>
        <w:pStyle w:val="Nadpis2"/>
      </w:pPr>
      <w:r>
        <w:t>Úkol 08/2: Kultivace mykobakterií, aktinomycet a nokardií</w:t>
      </w:r>
    </w:p>
    <w:p w:rsidR="0089627A" w:rsidRDefault="0089627A">
      <w:r>
        <w:t>Kultivační nároky acidorezistentních a částečně acidorezistentních bakterií jsou velmi různorodé.</w:t>
      </w:r>
    </w:p>
    <w:p w:rsidR="0089627A" w:rsidRDefault="0089627A">
      <w:pPr>
        <w:numPr>
          <w:ilvl w:val="0"/>
          <w:numId w:val="11"/>
        </w:numPr>
      </w:pPr>
      <w:r>
        <w:t xml:space="preserve">Pro </w:t>
      </w:r>
      <w:r>
        <w:rPr>
          <w:b/>
          <w:i/>
        </w:rPr>
        <w:t>Mycobacterium tuberculosis</w:t>
      </w:r>
      <w:r>
        <w:t xml:space="preserve"> používáme tekuté (Šula) a pevné půdy (Ogawa, Löwenstein-Jenssen). Pevné půdy se liší od většiny půd používaných v bakteriologii, protože neobsahují agar; jejich „pevnost“ je dána koagulovanou vaječnou bílkovinou. Před kultivací je nutno vzorky mořiti.</w:t>
      </w:r>
    </w:p>
    <w:p w:rsidR="0089627A" w:rsidRDefault="0089627A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Nocardia</w:t>
      </w:r>
      <w:r>
        <w:t xml:space="preserve"> postačuje běžný krevní agar.</w:t>
      </w:r>
      <w:bookmarkStart w:id="0" w:name="_GoBack"/>
      <w:bookmarkEnd w:id="0"/>
    </w:p>
    <w:p w:rsidR="00317664" w:rsidRDefault="00317664" w:rsidP="00317664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Actinomyces</w:t>
      </w:r>
      <w:r>
        <w:t xml:space="preserve"> je nutný VL-agar a kultivace v anaerostatu či anaerobním boxu (viz P07), protože jsou mikroaerofilní s tím, že jejich potřeba kyslíku je tak nízká, že jim vyhovuje anaerobní prostředí.</w:t>
      </w:r>
    </w:p>
    <w:p w:rsidR="00557071" w:rsidRDefault="0089627A" w:rsidP="00557071">
      <w:pPr>
        <w:pStyle w:val="Nadpis2"/>
      </w:pPr>
      <w:r>
        <w:br w:type="page"/>
      </w:r>
      <w:r w:rsidR="005570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557071" w:rsidTr="00084DF6"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Název půdy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tekutá/pevná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barva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poznámky</w:t>
            </w:r>
          </w:p>
        </w:tc>
      </w:tr>
      <w:tr w:rsidR="00557071" w:rsidTr="00084DF6">
        <w:tc>
          <w:tcPr>
            <w:tcW w:w="2303" w:type="dxa"/>
          </w:tcPr>
          <w:p w:rsidR="00557071" w:rsidRDefault="00557071" w:rsidP="00084DF6"/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</w:tr>
      <w:tr w:rsidR="00557071" w:rsidTr="00084DF6">
        <w:tc>
          <w:tcPr>
            <w:tcW w:w="2303" w:type="dxa"/>
          </w:tcPr>
          <w:p w:rsidR="00557071" w:rsidRDefault="00557071" w:rsidP="00084DF6"/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 xml:space="preserve">b) Popište a zakreslete růst kolonií rodů </w:t>
      </w:r>
      <w:r>
        <w:rPr>
          <w:i/>
        </w:rPr>
        <w:t>Mycobacterium</w:t>
      </w:r>
      <w:r>
        <w:t xml:space="preserve">,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2198"/>
        <w:gridCol w:w="5652"/>
      </w:tblGrid>
      <w:tr w:rsidR="00557071" w:rsidTr="00084DF6">
        <w:tc>
          <w:tcPr>
            <w:tcW w:w="1472" w:type="dxa"/>
            <w:shd w:val="clear" w:color="auto" w:fill="E6E6E6"/>
          </w:tcPr>
          <w:p w:rsidR="00557071" w:rsidRDefault="00557071" w:rsidP="00084DF6">
            <w:r>
              <w:t>Baktérie</w:t>
            </w:r>
          </w:p>
        </w:tc>
        <w:tc>
          <w:tcPr>
            <w:tcW w:w="2198" w:type="dxa"/>
            <w:shd w:val="clear" w:color="auto" w:fill="E6E6E6"/>
          </w:tcPr>
          <w:p w:rsidR="00557071" w:rsidRDefault="00557071" w:rsidP="00084DF6">
            <w:r>
              <w:t>Název půdy</w:t>
            </w:r>
          </w:p>
        </w:tc>
        <w:tc>
          <w:tcPr>
            <w:tcW w:w="5652" w:type="dxa"/>
            <w:shd w:val="clear" w:color="auto" w:fill="E6E6E6"/>
          </w:tcPr>
          <w:p w:rsidR="00557071" w:rsidRDefault="00557071" w:rsidP="00084DF6">
            <w:r>
              <w:t>Přítomnost/nepřítomnost růstu, případně charakterizace růstu</w:t>
            </w:r>
          </w:p>
          <w:p w:rsidR="00557071" w:rsidRDefault="00557071" w:rsidP="00084DF6">
            <w:r>
              <w:t>(charakterizujte růst vlastními slovy)</w:t>
            </w:r>
          </w:p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Mycobacterium</w:t>
            </w:r>
          </w:p>
        </w:tc>
        <w:tc>
          <w:tcPr>
            <w:tcW w:w="2198" w:type="dxa"/>
          </w:tcPr>
          <w:p w:rsidR="00557071" w:rsidRDefault="00557071" w:rsidP="00084DF6"/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/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Actinomyces</w:t>
            </w:r>
          </w:p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krevní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anaerobní WCHA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Nocardia</w:t>
            </w:r>
          </w:p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krevní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anaerobní WCHA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>Úkol 08/3: Určení citlivosti na antimikrobiální látky</w:t>
      </w:r>
    </w:p>
    <w:p w:rsidR="00557071" w:rsidRDefault="00557071" w:rsidP="00557071">
      <w:r>
        <w:t xml:space="preserve">K léčbě mykobakteriálních infekcí se používají speciální léky zvané antituberkulotika. Liší se také způsob testování citlivosti: antituberkulotika se přímo přidávají do půdy. Zato infekce působené rody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se léčí „normálními“ antibiotiky a citlivost se testuje „normálním“ difusním diskovým testem.</w:t>
      </w:r>
    </w:p>
    <w:p w:rsidR="00557071" w:rsidRDefault="00557071" w:rsidP="00557071">
      <w:pPr>
        <w:pStyle w:val="Nadpis2"/>
      </w:pPr>
      <w:r>
        <w:t>a) Určení citlivosti mykobakterií na antituberkulotika</w:t>
      </w:r>
    </w:p>
    <w:p w:rsidR="00557071" w:rsidRDefault="00557071" w:rsidP="00557071">
      <w:pPr>
        <w:pStyle w:val="Zhlav"/>
      </w:pPr>
      <w:r>
        <w:t>Porovnáním s kontrolní zkumavkou odečtěte testy citlivosti kmenů mykobakterií na antituberkulotika.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34"/>
        <w:gridCol w:w="1835"/>
        <w:gridCol w:w="1834"/>
        <w:gridCol w:w="1835"/>
      </w:tblGrid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Antituberkulotikum</w:t>
            </w:r>
          </w:p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Kontrola růstu</w:t>
            </w:r>
          </w:p>
        </w:tc>
      </w:tr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Růst A/N</w:t>
            </w: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</w:tr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Interpretace</w:t>
            </w:r>
          </w:p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</w:tr>
    </w:tbl>
    <w:p w:rsidR="00557071" w:rsidRDefault="00557071" w:rsidP="00557071">
      <w:pPr>
        <w:pStyle w:val="Nadpis2"/>
      </w:pPr>
      <w:r>
        <w:t xml:space="preserve">b) Citlivost na antibiotika u kmenů </w:t>
      </w:r>
      <w:r>
        <w:rPr>
          <w:i/>
        </w:rPr>
        <w:t>Nocardia</w:t>
      </w:r>
      <w:r>
        <w:t xml:space="preserve"> a </w:t>
      </w:r>
      <w:r>
        <w:rPr>
          <w:i/>
        </w:rPr>
        <w:t>Actinomyces</w:t>
      </w:r>
    </w:p>
    <w:p w:rsidR="00557071" w:rsidRDefault="00557071" w:rsidP="00557071">
      <w:r>
        <w:t>Z časových důvodů se neprovádí. Odečítalo by se jako běžné difusní diskové testy u jakékoli jiné bakterie.</w:t>
      </w:r>
    </w:p>
    <w:p w:rsidR="00557071" w:rsidRDefault="00557071" w:rsidP="00557071">
      <w:pPr>
        <w:pStyle w:val="Nadpis2"/>
      </w:pPr>
      <w:r>
        <w:t>Úkol 08/4: PCR v diagnostice TBC</w:t>
      </w:r>
    </w:p>
    <w:p w:rsidR="00557071" w:rsidRDefault="00557071" w:rsidP="00557071">
      <w:r>
        <w:t>Jelikož je kultivace mykobakterií obtížná, stává se PCR velmi důležitou diagnostickou metodou.</w:t>
      </w:r>
    </w:p>
    <w:p w:rsidR="00557071" w:rsidRDefault="00557071" w:rsidP="00557071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560"/>
        <w:gridCol w:w="1559"/>
        <w:gridCol w:w="4851"/>
      </w:tblGrid>
      <w:tr w:rsidR="00557071" w:rsidTr="00084DF6">
        <w:tc>
          <w:tcPr>
            <w:tcW w:w="1242" w:type="dxa"/>
            <w:shd w:val="clear" w:color="auto" w:fill="E6E6E6"/>
          </w:tcPr>
          <w:p w:rsidR="00557071" w:rsidRDefault="00557071" w:rsidP="00084DF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557071" w:rsidRDefault="00557071" w:rsidP="00084DF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557071" w:rsidRDefault="00557071" w:rsidP="00084DF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557071" w:rsidRDefault="00557071" w:rsidP="00084DF6">
            <w:r>
              <w:t>Interpretace</w:t>
            </w:r>
          </w:p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1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2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3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4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>Úkol 08/5: Diagnostika lepry</w:t>
      </w:r>
    </w:p>
    <w:p w:rsidR="00557071" w:rsidRDefault="00557071" w:rsidP="00557071">
      <w:r>
        <w:t xml:space="preserve">Lepra je nemoc, která stále postihuje miliony lidí v méně rozvinutých zemích. Její diagnostika je obtížná. </w:t>
      </w:r>
      <w:r w:rsidR="00BE498F">
        <w:t>Prohlédněte si</w:t>
      </w:r>
      <w:r>
        <w:t xml:space="preserve"> následující tabulku.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2295"/>
        <w:gridCol w:w="3793"/>
      </w:tblGrid>
      <w:tr w:rsidR="00557071" w:rsidTr="00084DF6">
        <w:trPr>
          <w:cantSplit/>
        </w:trPr>
        <w:tc>
          <w:tcPr>
            <w:tcW w:w="3200" w:type="dxa"/>
            <w:vMerge w:val="restart"/>
          </w:tcPr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892935" cy="932180"/>
                  <wp:effectExtent l="0" t="0" r="0" b="1270"/>
                  <wp:docPr id="17" name="Obrázek 17" descr="59 nine_banded_armadillo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9 nine_banded_armadillo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E6E6E6"/>
          </w:tcPr>
          <w:p w:rsidR="00557071" w:rsidRDefault="00557071" w:rsidP="00084DF6">
            <w:r>
              <w:t>Toto zvíře se jmenuje</w:t>
            </w:r>
          </w:p>
          <w:p w:rsidR="00557071" w:rsidRDefault="00557071" w:rsidP="00084DF6"/>
        </w:tc>
        <w:tc>
          <w:tcPr>
            <w:tcW w:w="3793" w:type="dxa"/>
          </w:tcPr>
          <w:p w:rsidR="00557071" w:rsidRPr="00BE498F" w:rsidRDefault="00BE498F" w:rsidP="00BE498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pásovec devítipásý</w:t>
            </w:r>
          </w:p>
        </w:tc>
      </w:tr>
      <w:tr w:rsidR="00557071" w:rsidTr="00084DF6">
        <w:trPr>
          <w:cantSplit/>
        </w:trPr>
        <w:tc>
          <w:tcPr>
            <w:tcW w:w="3200" w:type="dxa"/>
            <w:vMerge/>
          </w:tcPr>
          <w:p w:rsidR="00557071" w:rsidRDefault="00557071" w:rsidP="00084DF6"/>
        </w:tc>
        <w:tc>
          <w:tcPr>
            <w:tcW w:w="2295" w:type="dxa"/>
            <w:shd w:val="clear" w:color="auto" w:fill="E6E6E6"/>
          </w:tcPr>
          <w:p w:rsidR="00557071" w:rsidRDefault="00557071" w:rsidP="00084DF6">
            <w:r>
              <w:t>Používá se k výrobě</w:t>
            </w:r>
          </w:p>
          <w:p w:rsidR="00557071" w:rsidRDefault="00557071" w:rsidP="00084DF6"/>
        </w:tc>
        <w:tc>
          <w:tcPr>
            <w:tcW w:w="3793" w:type="dxa"/>
          </w:tcPr>
          <w:p w:rsidR="00557071" w:rsidRPr="00BE498F" w:rsidRDefault="00BE498F" w:rsidP="00BE498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leprominu</w:t>
            </w:r>
          </w:p>
        </w:tc>
      </w:tr>
      <w:tr w:rsidR="00557071" w:rsidTr="00084DF6">
        <w:trPr>
          <w:cantSplit/>
        </w:trPr>
        <w:tc>
          <w:tcPr>
            <w:tcW w:w="3200" w:type="dxa"/>
            <w:vMerge/>
          </w:tcPr>
          <w:p w:rsidR="00557071" w:rsidRDefault="00557071" w:rsidP="00084DF6"/>
        </w:tc>
        <w:tc>
          <w:tcPr>
            <w:tcW w:w="2295" w:type="dxa"/>
            <w:shd w:val="clear" w:color="auto" w:fill="E6E6E6"/>
          </w:tcPr>
          <w:p w:rsidR="00557071" w:rsidRDefault="00557071" w:rsidP="00084DF6">
            <w:r>
              <w:t>a tato látka se používá při</w:t>
            </w:r>
          </w:p>
          <w:p w:rsidR="00557071" w:rsidRDefault="00557071" w:rsidP="00084DF6"/>
        </w:tc>
        <w:tc>
          <w:tcPr>
            <w:tcW w:w="3793" w:type="dxa"/>
          </w:tcPr>
          <w:p w:rsidR="00557071" w:rsidRPr="00BE498F" w:rsidRDefault="00BE498F" w:rsidP="00BE498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leprominovém testu v diagnostice lepry</w:t>
            </w:r>
          </w:p>
        </w:tc>
      </w:tr>
    </w:tbl>
    <w:p w:rsidR="00557071" w:rsidRDefault="00557071" w:rsidP="00557071">
      <w:pPr>
        <w:rPr>
          <w:sz w:val="12"/>
          <w:szCs w:val="12"/>
        </w:rPr>
      </w:pPr>
      <w:r>
        <w:rPr>
          <w:sz w:val="12"/>
          <w:szCs w:val="12"/>
        </w:rPr>
        <w:t>Zdroj obrázku: http://www.1-costaricalink.com/costa_rica_fauna/nine_banded_armadillo.htm</w:t>
      </w:r>
    </w:p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557071" w:rsidRDefault="00557071" w:rsidP="00557071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>
        <w:t>„</w:t>
      </w:r>
      <w:r w:rsidRPr="007A0D86">
        <w:t>TB</w:t>
      </w:r>
      <w:r>
        <w:t>“</w:t>
      </w:r>
      <w:r w:rsidRPr="007A0D86">
        <w:t xml:space="preserve"> představuje množství uvolněného interferonu po stimulaci vlastním antigenem TBC.</w:t>
      </w:r>
      <w:r>
        <w:t xml:space="preserve"> Samotný interferon je přitom detekován pomocí reakce ELISA.</w:t>
      </w:r>
    </w:p>
    <w:p w:rsidR="00557071" w:rsidRDefault="00557071" w:rsidP="00557071">
      <w:r>
        <w:t>Interpretujte vyšetření testem Quantiferon-TB Gold u čtyř pacientů s využitím interpretační tabulky.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Dimos: </w:t>
      </w:r>
      <w:r w:rsidRPr="007A0D86">
        <w:rPr>
          <w:szCs w:val="12"/>
        </w:rPr>
        <w:tab/>
        <w:t>MIT = 8</w:t>
      </w:r>
      <w:r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ab/>
        <w:t>Vaše interpretace: _____________________</w:t>
      </w:r>
    </w:p>
    <w:p w:rsidR="00557071" w:rsidRPr="007A0D86" w:rsidRDefault="00557071" w:rsidP="00557071">
      <w:pPr>
        <w:rPr>
          <w:szCs w:val="12"/>
        </w:rPr>
      </w:pPr>
    </w:p>
    <w:p w:rsidR="00557071" w:rsidRDefault="00557071" w:rsidP="00557071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557071" w:rsidRDefault="00557071" w:rsidP="00557071">
      <w:pPr>
        <w:rPr>
          <w:szCs w:val="12"/>
        </w:rPr>
      </w:pPr>
    </w:p>
    <w:p w:rsidR="00557071" w:rsidRPr="00B970F3" w:rsidRDefault="00557071" w:rsidP="00557071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2"/>
        <w:gridCol w:w="1578"/>
        <w:gridCol w:w="1697"/>
        <w:gridCol w:w="1672"/>
        <w:gridCol w:w="1841"/>
      </w:tblGrid>
      <w:tr w:rsidR="00557071" w:rsidRPr="007A0D86" w:rsidTr="003023CE">
        <w:trPr>
          <w:trHeight w:hRule="exact" w:val="487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tuberculosis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</w:tr>
    </w:tbl>
    <w:p w:rsidR="003023CE" w:rsidRPr="00956C93" w:rsidRDefault="003023CE" w:rsidP="003023CE">
      <w:pPr>
        <w:rPr>
          <w:i/>
          <w:szCs w:val="12"/>
        </w:rPr>
      </w:pPr>
      <w:r>
        <w:rPr>
          <w:b/>
          <w:i/>
          <w:szCs w:val="12"/>
        </w:rPr>
        <w:t>Poznámka</w:t>
      </w:r>
      <w:r w:rsidRPr="00956C93">
        <w:rPr>
          <w:b/>
          <w:i/>
          <w:szCs w:val="12"/>
        </w:rPr>
        <w:t>:</w:t>
      </w:r>
      <w:r>
        <w:rPr>
          <w:i/>
          <w:szCs w:val="12"/>
        </w:rPr>
        <w:t xml:space="preserve"> Vylepšená verze testu QUANTIFERON zahrnuje čtyři (a ne tři) zkumavky, jelikož „TB“ je nahrazeno dvěma typy antigenů. Nicméně pro zjednodušení zde počítáme s klasickou variantou testu.</w:t>
      </w:r>
    </w:p>
    <w:p w:rsidR="003023CE" w:rsidRDefault="003023CE" w:rsidP="00557071">
      <w:pPr>
        <w:pStyle w:val="Nadpis2"/>
        <w:rPr>
          <w:lang w:val="en-US"/>
        </w:rPr>
      </w:pPr>
    </w:p>
    <w:p w:rsidR="00557071" w:rsidRDefault="00557071" w:rsidP="00557071">
      <w:pPr>
        <w:pStyle w:val="Nadpis2"/>
        <w:rPr>
          <w:lang w:val="en-US"/>
        </w:rPr>
      </w:pPr>
      <w:r>
        <w:rPr>
          <w:lang w:val="en-US"/>
        </w:rPr>
        <w:t>Lymeská</w:t>
      </w:r>
      <w:r w:rsidR="00207EBF">
        <w:rPr>
          <w:lang w:val="en-US"/>
        </w:rPr>
        <w:t xml:space="preserve"> </w:t>
      </w:r>
      <w:r>
        <w:rPr>
          <w:lang w:val="en-US"/>
        </w:rPr>
        <w:t>borrelióza</w:t>
      </w:r>
    </w:p>
    <w:p w:rsidR="00557071" w:rsidRPr="00207EBF" w:rsidRDefault="00557071" w:rsidP="00557071">
      <w:r w:rsidRPr="00207EBF">
        <w:t>Společná</w:t>
      </w:r>
      <w:r w:rsidR="00207EBF" w:rsidRPr="00207EBF">
        <w:t xml:space="preserve"> </w:t>
      </w:r>
      <w:r w:rsidRPr="00207EBF">
        <w:t>tabulka pro úkoly 09/1, 2 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873"/>
        <w:gridCol w:w="589"/>
        <w:gridCol w:w="718"/>
        <w:gridCol w:w="640"/>
        <w:gridCol w:w="625"/>
        <w:gridCol w:w="830"/>
        <w:gridCol w:w="698"/>
        <w:gridCol w:w="850"/>
        <w:gridCol w:w="1766"/>
      </w:tblGrid>
      <w:tr w:rsidR="00557071" w:rsidRPr="00207EBF" w:rsidTr="00084DF6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Písmeno</w:t>
            </w:r>
            <w:r w:rsidR="00207EBF" w:rsidRPr="00207EBF">
              <w:t xml:space="preserve"> </w:t>
            </w:r>
            <w:r w:rsidRPr="00207EBF">
              <w:t>pacienta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left"/>
            </w:pPr>
            <w:r w:rsidRPr="00207EBF">
              <w:t>Krátký</w:t>
            </w:r>
            <w:r w:rsidR="00207EBF" w:rsidRPr="00207EBF">
              <w:t xml:space="preserve"> </w:t>
            </w:r>
            <w:r w:rsidRPr="00207EBF">
              <w:t>klinický</w:t>
            </w:r>
            <w:r w:rsidR="00207EBF" w:rsidRPr="00207EBF">
              <w:t xml:space="preserve"> </w:t>
            </w:r>
            <w:r w:rsidRPr="00207EBF">
              <w:t>popis</w:t>
            </w:r>
          </w:p>
          <w:p w:rsidR="00557071" w:rsidRPr="00207EBF" w:rsidRDefault="00557071" w:rsidP="00207EBF">
            <w:pPr>
              <w:jc w:val="left"/>
            </w:pPr>
            <w:r w:rsidRPr="00207EBF">
              <w:t>(1–3 slova</w:t>
            </w:r>
            <w:r w:rsidR="00207EBF" w:rsidRPr="00207EBF">
              <w:t xml:space="preserve"> </w:t>
            </w:r>
            <w:r w:rsidRPr="00207EBF">
              <w:t>chara</w:t>
            </w:r>
            <w:r w:rsidR="00207EBF" w:rsidRPr="00207EBF">
              <w:t>k</w:t>
            </w:r>
            <w:r w:rsidRPr="00207EBF">
              <w:t>terizující</w:t>
            </w:r>
            <w:r w:rsidR="00207EBF" w:rsidRPr="00207EBF">
              <w:t xml:space="preserve"> </w:t>
            </w:r>
            <w:r w:rsidRPr="00207EBF">
              <w:t>situaci)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ELISA (Úkol 09/1)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W. blot (Ú09/2)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PCR</w:t>
            </w:r>
          </w:p>
          <w:p w:rsidR="00557071" w:rsidRPr="00207EBF" w:rsidRDefault="00557071" w:rsidP="00084DF6">
            <w:r w:rsidRPr="00207EBF">
              <w:t>(Ú09/3)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Závěr:</w:t>
            </w:r>
          </w:p>
          <w:p w:rsidR="00557071" w:rsidRPr="00207EBF" w:rsidRDefault="00557071" w:rsidP="00207EBF">
            <w:pPr>
              <w:jc w:val="left"/>
            </w:pPr>
            <w:r w:rsidRPr="00207EBF">
              <w:t>konečná</w:t>
            </w:r>
            <w:r w:rsidR="00207EBF" w:rsidRPr="00207EBF">
              <w:t xml:space="preserve"> </w:t>
            </w:r>
            <w:r w:rsidRPr="00207EBF">
              <w:t xml:space="preserve">interpretace, dopor. </w:t>
            </w:r>
            <w:r w:rsidR="00207EBF" w:rsidRPr="00207EBF">
              <w:t>p</w:t>
            </w:r>
            <w:r w:rsidRPr="00207EBF">
              <w:t>řípadné</w:t>
            </w:r>
            <w:r w:rsidR="00207EBF" w:rsidRPr="00207EBF">
              <w:t xml:space="preserve"> </w:t>
            </w:r>
            <w:r w:rsidRPr="00207EBF">
              <w:t>léčby</w:t>
            </w:r>
          </w:p>
        </w:tc>
      </w:tr>
      <w:tr w:rsidR="00557071" w:rsidRPr="00207EBF" w:rsidTr="00084DF6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IgM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IgG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RPr="00207EBF" w:rsidTr="00084DF6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Abs.</w:t>
            </w:r>
          </w:p>
          <w:p w:rsidR="00557071" w:rsidRPr="00207EBF" w:rsidRDefault="00557071" w:rsidP="00084DF6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  <w:tcBorders>
              <w:top w:val="single" w:sz="4" w:space="0" w:color="auto"/>
            </w:tcBorders>
          </w:tcPr>
          <w:p w:rsidR="00557071" w:rsidRPr="00207EBF" w:rsidRDefault="00557071" w:rsidP="00084DF6"/>
        </w:tc>
        <w:tc>
          <w:tcPr>
            <w:tcW w:w="73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557071" w:rsidRPr="00207EBF" w:rsidRDefault="00557071" w:rsidP="00084DF6"/>
        </w:tc>
        <w:tc>
          <w:tcPr>
            <w:tcW w:w="63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</w:tbl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br w:type="page"/>
      </w:r>
      <w:r>
        <w:lastRenderedPageBreak/>
        <w:t xml:space="preserve">Úkol 09/1: Průkaz protilátek proti </w:t>
      </w:r>
      <w:r>
        <w:rPr>
          <w:i/>
        </w:rPr>
        <w:t>Borreliagarinii</w:t>
      </w:r>
      <w:r>
        <w:t xml:space="preserve"> metodou ELISA</w:t>
      </w:r>
    </w:p>
    <w:p w:rsidR="00557071" w:rsidRDefault="00557071" w:rsidP="00557071">
      <w:r>
        <w:t>Odečtěte podle výkladu vyučujícího výsledek reakce u pacientů s podezřením na lymeskouborreliózu. Určujeme protilátky ve třídě IgG a IgM. V poli A1 (odpovídá důlku A1 v mikrotitrační destičce) naleznete hodnotu CAL (hraniční hodnotu; všechny hodnoty absorbance nad CAL jsou positivní, vše pod CAL budiž negativní). V polích B1 a C1 jsou kontroly. Pacienti označení písmeny J až N jsou v barevně označených polích.</w:t>
      </w:r>
    </w:p>
    <w:p w:rsidR="00557071" w:rsidRDefault="00557071" w:rsidP="00557071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/>
      </w:tblPr>
      <w:tblGrid>
        <w:gridCol w:w="1578"/>
        <w:gridCol w:w="1526"/>
        <w:gridCol w:w="2249"/>
        <w:gridCol w:w="909"/>
        <w:gridCol w:w="1784"/>
        <w:gridCol w:w="1242"/>
      </w:tblGrid>
      <w:tr w:rsidR="00557071" w:rsidTr="00084DF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</w:tc>
      </w:tr>
      <w:tr w:rsidR="00557071" w:rsidTr="00084DF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8"/>
              </w:rPr>
            </w:pPr>
          </w:p>
        </w:tc>
      </w:tr>
      <w:tr w:rsidR="00557071" w:rsidTr="00084DF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t>Hodnota CAL</w:t>
            </w:r>
          </w:p>
          <w:p w:rsidR="00557071" w:rsidRDefault="00557071" w:rsidP="00084DF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  <w:rPr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 xml:space="preserve">Úkol 09/2: Průkaz protilátek proti </w:t>
      </w:r>
      <w:r>
        <w:rPr>
          <w:i/>
        </w:rPr>
        <w:t>Borrelia</w:t>
      </w:r>
      <w:r w:rsidR="006E132A">
        <w:rPr>
          <w:i/>
        </w:rPr>
        <w:t xml:space="preserve"> </w:t>
      </w:r>
      <w:r>
        <w:rPr>
          <w:i/>
        </w:rPr>
        <w:t>garinii</w:t>
      </w:r>
      <w:r>
        <w:t xml:space="preserve"> pomocí Western blottu</w:t>
      </w:r>
    </w:p>
    <w:p w:rsidR="00557071" w:rsidRDefault="00557071" w:rsidP="00557071">
      <w:r>
        <w:t>U pacientů řešených v úkolu č. 1 se vzorky séra či likvoru testovaly také Western blottem. Odečtěte výsledky dle instrukcí. Pro odečtení reakce použijte kontrolní proužek. Diagnostické schéma je vždy stejné: ELISA je použita ke screeningu, Western blot ke konfirmaci jejích výsledků. Odečtěte Western blot u pacientů J až N a zapište výsledky do hlavní tabulky.</w:t>
      </w:r>
    </w:p>
    <w:p w:rsidR="00557071" w:rsidRDefault="00557071" w:rsidP="00557071">
      <w:pPr>
        <w:pStyle w:val="Nadpis2"/>
      </w:pPr>
      <w:r>
        <w:t>Úkol 09/3: Diagnostika Lymeské</w:t>
      </w:r>
      <w:r w:rsidR="006E132A">
        <w:t xml:space="preserve"> </w:t>
      </w:r>
      <w:r>
        <w:t>borreliózy pomocí PCR</w:t>
      </w:r>
    </w:p>
    <w:p w:rsidR="00557071" w:rsidRDefault="00557071" w:rsidP="00557071">
      <w:r>
        <w:t>Pomocí dané fotografie PCR produktu na agarózovém gelu zakreslete a zaznamenejte který z testovaných vzorků je pozitivní. Poté proveďte celkové zhodnocení všech tří úkolů a zapište závěr.</w:t>
      </w:r>
    </w:p>
    <w:p w:rsidR="00557071" w:rsidRDefault="00557071" w:rsidP="00557071">
      <w:pPr>
        <w:pStyle w:val="Nadpis2"/>
      </w:pPr>
      <w:r>
        <w:t>Syfilis</w:t>
      </w:r>
    </w:p>
    <w:p w:rsidR="00557071" w:rsidRDefault="00557071" w:rsidP="00557071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>Treponema pallidum</w:t>
      </w:r>
      <w:r w:rsidR="006E132A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subsp.</w:t>
      </w:r>
      <w:r w:rsidR="006E132A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pallidum</w:t>
      </w:r>
      <w:r>
        <w:rPr>
          <w:sz w:val="16"/>
          <w:szCs w:val="16"/>
        </w:rPr>
        <w:t xml:space="preserve">, NENÍ in vitro kultivovatelný organismus. Diagnostika závisí na stádiu nemoci. </w:t>
      </w:r>
    </w:p>
    <w:p w:rsidR="00557071" w:rsidRDefault="00557071" w:rsidP="00557071">
      <w:pPr>
        <w:pStyle w:val="Nadpis2"/>
      </w:pPr>
      <w:r>
        <w:t>Úkol 09/4: Přímý průkaz syfilis.</w:t>
      </w:r>
    </w:p>
    <w:p w:rsidR="00557071" w:rsidRDefault="00557071" w:rsidP="00557071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2" name="Obrázek 22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new zea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Přímý průkaz syfilis je možný pouze v případě zaslání vhodných vzorků do laboratoře. V některých stádiích nemoci však není k mání žádný vhodný vzorek pro tento účel.</w:t>
      </w:r>
    </w:p>
    <w:p w:rsidR="00557071" w:rsidRDefault="00557071" w:rsidP="00557071">
      <w:pPr>
        <w:pStyle w:val="Nadpis2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1891030" cy="1155700"/>
            <wp:effectExtent l="0" t="0" r="0" b="6350"/>
            <wp:wrapSquare wrapText="bothSides"/>
            <wp:docPr id="21" name="Obrázek 21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a) Rabbit</w:t>
      </w:r>
      <w:r w:rsidR="006E132A">
        <w:t xml:space="preserve"> </w:t>
      </w:r>
      <w:r>
        <w:t>infectivity test – RIT</w:t>
      </w:r>
    </w:p>
    <w:p w:rsidR="00557071" w:rsidRDefault="00557071" w:rsidP="00557071">
      <w:pPr>
        <w:ind w:right="1134"/>
      </w:pPr>
      <w:r>
        <w:t>Zapište název králíka používaného pro tento test.</w:t>
      </w:r>
    </w:p>
    <w:p w:rsidR="00557071" w:rsidRDefault="00557071" w:rsidP="00557071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557071" w:rsidRDefault="00E4148C" w:rsidP="00557071">
      <w:pPr>
        <w:ind w:right="1134"/>
      </w:pPr>
      <w:r>
        <w:rPr>
          <w:noProof/>
        </w:rPr>
        <w:pict>
          <v:rect id="Obdélník 20" o:spid="_x0000_s1028" style="position:absolute;left:0;text-align:left;margin-left:117pt;margin-top:41pt;width:2in;height:19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"/>
        </w:pict>
      </w:r>
      <w:r w:rsidR="00557071">
        <w:t>Exudát z podezřelého vředu je zpravidla vyhodnocován zástinovou mikroskopií a očkován do králičích varlat. Testované zvíře začíná trpět orchitidou 10 dní po naočkování. Název králíka:</w:t>
      </w:r>
    </w:p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t>b) Mikroskopie v zástinu</w:t>
      </w:r>
    </w:p>
    <w:p w:rsidR="00557071" w:rsidRDefault="00557071" w:rsidP="00557071">
      <w:r>
        <w:t>Podívejte se na mikrofotografii treponemat ze zástinové mikroskopie. Pro urychlení máte tento úkol již vyplněn.</w:t>
      </w:r>
    </w:p>
    <w:p w:rsidR="00557071" w:rsidRDefault="00557071" w:rsidP="00557071">
      <w:pPr>
        <w:pStyle w:val="Nadpis2"/>
      </w:pPr>
      <w:r>
        <w:t>c) Přímá imunofluorescence</w:t>
      </w:r>
    </w:p>
    <w:p w:rsidR="00557071" w:rsidRDefault="00557071" w:rsidP="00557071">
      <w:r>
        <w:t>Pro urychlení máte i tento úkol už vyplněn.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3206"/>
        <w:gridCol w:w="2407"/>
      </w:tblGrid>
      <w:tr w:rsidR="00557071" w:rsidTr="00084DF6">
        <w:tc>
          <w:tcPr>
            <w:tcW w:w="1861" w:type="dxa"/>
          </w:tcPr>
          <w:p w:rsidR="00557071" w:rsidRDefault="00557071" w:rsidP="00084DF6">
            <w:r>
              <w:t>09/4b) princip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042670" cy="1059815"/>
                  <wp:effectExtent l="0" t="0" r="5080" b="6985"/>
                  <wp:docPr id="16" name="Obrázek 16" descr="Zá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ás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57071" w:rsidRDefault="00557071" w:rsidP="00084DF6">
            <w:r>
              <w:t xml:space="preserve">09/4b) výsledek </w:t>
            </w:r>
            <w:r w:rsidRPr="008E402B">
              <w:rPr>
                <w:sz w:val="16"/>
                <w:szCs w:val="16"/>
              </w:rPr>
              <w:t>(</w:t>
            </w:r>
            <w:r w:rsidR="00207EBF">
              <w:rPr>
                <w:sz w:val="16"/>
                <w:szCs w:val="16"/>
              </w:rPr>
              <w:t>zdroj: MiÚ LF MU</w:t>
            </w:r>
            <w:r w:rsidRPr="008E402B">
              <w:rPr>
                <w:sz w:val="16"/>
                <w:szCs w:val="16"/>
              </w:rPr>
              <w:t>)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805305" cy="967105"/>
                  <wp:effectExtent l="0" t="0" r="4445" b="4445"/>
                  <wp:docPr id="15" name="Obrázek 15" descr="Zástin do protoko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ástin do protoko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396" t="26285" r="22955" b="35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7071" w:rsidRDefault="00557071" w:rsidP="00084DF6">
            <w:r>
              <w:t xml:space="preserve">09/4c) </w:t>
            </w:r>
            <w:r>
              <w:rPr>
                <w:sz w:val="16"/>
                <w:szCs w:val="16"/>
              </w:rPr>
              <w:t>(</w:t>
            </w:r>
            <w:r w:rsidR="00207EBF">
              <w:rPr>
                <w:sz w:val="16"/>
                <w:szCs w:val="16"/>
              </w:rPr>
              <w:t>zdroj: MiÚ LF MU</w:t>
            </w:r>
            <w:r>
              <w:rPr>
                <w:sz w:val="16"/>
                <w:szCs w:val="16"/>
              </w:rPr>
              <w:t>)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333500" cy="1013460"/>
                  <wp:effectExtent l="0" t="0" r="0" b="0"/>
                  <wp:docPr id="14" name="Obrázek 14" descr="Přímá imunofluoresc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římá imunofluoresc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br w:type="page"/>
      </w:r>
      <w:r>
        <w:lastRenderedPageBreak/>
        <w:t>Nepřímý průkaz syfilis</w:t>
      </w:r>
    </w:p>
    <w:p w:rsidR="00557071" w:rsidRDefault="00557071" w:rsidP="00557071">
      <w:pPr>
        <w:ind w:left="2268" w:firstLine="1134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19" name="Obrázek 19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Společná tabulka pro ú</w:t>
      </w:r>
      <w:r>
        <w:rPr>
          <w:lang w:val="en-US"/>
        </w:rPr>
        <w:t>koly 09/5 a 09/6.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557071" w:rsidTr="00084DF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Písmeno</w:t>
            </w:r>
            <w:r w:rsidR="00207EBF" w:rsidRPr="00207EBF">
              <w:t xml:space="preserve"> </w:t>
            </w:r>
            <w:r w:rsidRPr="00207EBF">
              <w:t>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r w:rsidRPr="00207EBF">
              <w:t>Krátká</w:t>
            </w:r>
          </w:p>
          <w:p w:rsidR="00557071" w:rsidRPr="00207EBF" w:rsidRDefault="00557071" w:rsidP="00084DF6">
            <w:r w:rsidRPr="00207EBF">
              <w:t>klinická</w:t>
            </w:r>
          </w:p>
          <w:p w:rsidR="00557071" w:rsidRPr="00207EBF" w:rsidRDefault="00557071" w:rsidP="00084DF6">
            <w:r w:rsidRPr="00207EBF">
              <w:t>charakterizace</w:t>
            </w:r>
            <w:r w:rsidR="00207EBF" w:rsidRPr="00207EBF">
              <w:t xml:space="preserve"> </w:t>
            </w:r>
            <w:r w:rsidRPr="00207EBF">
              <w:t>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Úkol 09/5</w:t>
            </w:r>
          </w:p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screening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Úkol 09/6</w:t>
            </w:r>
          </w:p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ind w:left="142"/>
              <w:jc w:val="left"/>
            </w:pPr>
          </w:p>
          <w:p w:rsidR="00557071" w:rsidRPr="00207EBF" w:rsidRDefault="00557071" w:rsidP="00084DF6">
            <w:r w:rsidRPr="00207EBF">
              <w:t>Závěr:</w:t>
            </w:r>
          </w:p>
          <w:p w:rsidR="00557071" w:rsidRPr="00207EBF" w:rsidRDefault="00557071" w:rsidP="00084DF6">
            <w:pPr>
              <w:ind w:left="142"/>
              <w:jc w:val="left"/>
            </w:pPr>
            <w:r w:rsidRPr="00207EBF">
              <w:t>konečná</w:t>
            </w:r>
            <w:r w:rsidR="00207EBF" w:rsidRPr="00207EBF">
              <w:t xml:space="preserve"> </w:t>
            </w:r>
            <w:r w:rsidRPr="00207EBF">
              <w:t>interpretace, doporučení</w:t>
            </w:r>
            <w:r w:rsidR="00207EBF" w:rsidRPr="00207EBF">
              <w:t xml:space="preserve"> </w:t>
            </w:r>
            <w:r w:rsidRPr="00207EBF">
              <w:t>případné</w:t>
            </w:r>
            <w:r w:rsidR="00207EBF" w:rsidRPr="00207EBF">
              <w:t xml:space="preserve"> </w:t>
            </w:r>
            <w:r w:rsidRPr="00207EBF">
              <w:t>léčby</w:t>
            </w:r>
          </w:p>
        </w:tc>
      </w:tr>
      <w:tr w:rsidR="00557071" w:rsidTr="00084DF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557071" w:rsidRPr="00207EBF" w:rsidRDefault="00557071" w:rsidP="00084DF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</w:p>
          <w:p w:rsidR="00557071" w:rsidRPr="00207EBF" w:rsidRDefault="00557071" w:rsidP="00084DF6">
            <w:pPr>
              <w:ind w:left="113" w:right="113"/>
            </w:pPr>
            <w:r w:rsidRPr="00207EBF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 xml:space="preserve"> WB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left"/>
              <w:rPr>
                <w:color w:val="FFFFFF"/>
              </w:rPr>
            </w:pPr>
          </w:p>
        </w:tc>
      </w:tr>
      <w:tr w:rsidR="00557071" w:rsidTr="00084DF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Tr="00084DF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Absor-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Absor-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7071" w:rsidRPr="00207EBF" w:rsidRDefault="00557071" w:rsidP="00084DF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7071" w:rsidRPr="00207EBF" w:rsidRDefault="00557071" w:rsidP="00084DF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</w:tbl>
    <w:p w:rsidR="00557071" w:rsidRDefault="00557071" w:rsidP="00557071">
      <w:pPr>
        <w:pStyle w:val="Nadpis2"/>
      </w:pPr>
      <w:r>
        <w:t>Úkol 09/5: Screening syfilis – RRR a TPHA</w:t>
      </w:r>
    </w:p>
    <w:p w:rsidR="00557071" w:rsidRDefault="00557071" w:rsidP="00557071">
      <w:r>
        <w:t xml:space="preserve">Těhotné ženy a dárci krve jsou screeningově vyšetřováni rychlou reaginovou reakcí (RRR) a </w:t>
      </w:r>
      <w:r>
        <w:rPr>
          <w:i/>
        </w:rPr>
        <w:t>Treponema pallidum</w:t>
      </w:r>
      <w:r>
        <w:t xml:space="preserve"> pasivní hemaglutinací (TPHA). Posuďte výsledky screeningu u předložené skupiny osob a stanovte, u koho je třeba ještě zajistit podrobnější, tzv. konfirmační (potvrzovací) vyšetření. Výsledky zapište přímo do tabulky.</w:t>
      </w:r>
    </w:p>
    <w:p w:rsidR="00557071" w:rsidRDefault="00557071" w:rsidP="00557071">
      <w:r>
        <w:t>RRR: pozitivní je vyvločkování. TPHA: pozitivní je tvorba aglutinátu.</w:t>
      </w:r>
    </w:p>
    <w:p w:rsidR="00557071" w:rsidRDefault="00557071" w:rsidP="00557071">
      <w:pPr>
        <w:pStyle w:val="Nadpis2"/>
      </w:pPr>
      <w:r>
        <w:t>Úkol 09/6: Konfirmace syfilis – FTA-ABS, ELISA a Western blotting</w:t>
      </w:r>
    </w:p>
    <w:p w:rsidR="00557071" w:rsidRDefault="00557071" w:rsidP="00557071">
      <w:r>
        <w:t>Vyhodnoťte výsledky FTA-ABS, ELISA a western blottingu (WB – vizte výklad v protokolu P07a) u pacientů se suspektní syfilis (viz předchozí úkol). Spočítejte cut-off a porovnejte s ním hodnoty pozitivní a negativní kontroly a výsledky pacientů.</w:t>
      </w:r>
    </w:p>
    <w:p w:rsidR="00557071" w:rsidRDefault="00557071" w:rsidP="00557071">
      <w:pPr>
        <w:rPr>
          <w:b/>
          <w:iCs/>
        </w:rPr>
      </w:pPr>
      <w:r>
        <w:t>V poli/důlku A1 je přítomen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1526"/>
        <w:gridCol w:w="2249"/>
        <w:gridCol w:w="909"/>
        <w:gridCol w:w="1784"/>
        <w:gridCol w:w="1242"/>
      </w:tblGrid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r>
              <w:t>Hodnota cutoff (C1 + D1) / 2</w:t>
            </w:r>
          </w:p>
        </w:tc>
        <w:tc>
          <w:tcPr>
            <w:tcW w:w="1526" w:type="dxa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K– (pole/důlek B1):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 w:val="restart"/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1526" w:type="dxa"/>
            <w:shd w:val="clear" w:color="auto" w:fill="E6E6E6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K+ (pole/důlek E1):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cutoff (C1 + D1) / 2</w:t>
            </w:r>
          </w:p>
        </w:tc>
        <w:tc>
          <w:tcPr>
            <w:tcW w:w="1526" w:type="dxa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K– (pole/důlek B1):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 w:val="restart"/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1526" w:type="dxa"/>
            <w:shd w:val="clear" w:color="auto" w:fill="E6E6E6"/>
          </w:tcPr>
          <w:p w:rsidR="00557071" w:rsidRDefault="00557071" w:rsidP="00084DF6">
            <w:pPr>
              <w:rPr>
                <w:color w:val="FFFFFF"/>
              </w:rPr>
            </w:pPr>
          </w:p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K+ (pole/důlek E1):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557071" w:rsidRDefault="00557071" w:rsidP="00084DF6"/>
        </w:tc>
      </w:tr>
    </w:tbl>
    <w:p w:rsidR="00557071" w:rsidRDefault="00557071" w:rsidP="00557071">
      <w:pPr>
        <w:rPr>
          <w:b/>
          <w:iCs/>
          <w:sz w:val="24"/>
        </w:rPr>
      </w:pPr>
      <w:r>
        <w:rPr>
          <w:b/>
          <w:iCs/>
          <w:sz w:val="24"/>
        </w:rPr>
        <w:t>Leptospiróza</w:t>
      </w:r>
    </w:p>
    <w:p w:rsidR="00557071" w:rsidRDefault="00557071" w:rsidP="00557071">
      <w:pPr>
        <w:pStyle w:val="Nadpis2"/>
      </w:pPr>
      <w:r>
        <w:t xml:space="preserve">Úkol 09/7: Přímý průkaz </w:t>
      </w:r>
      <w:r>
        <w:rPr>
          <w:i/>
        </w:rPr>
        <w:t>Leptospira</w:t>
      </w:r>
      <w:r>
        <w:t>sp.</w:t>
      </w:r>
    </w:p>
    <w:p w:rsidR="00557071" w:rsidRDefault="00557071" w:rsidP="00557071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123825</wp:posOffset>
            </wp:positionV>
            <wp:extent cx="2133600" cy="1887220"/>
            <wp:effectExtent l="0" t="0" r="0" b="0"/>
            <wp:wrapNone/>
            <wp:docPr id="18" name="Obrázek 18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Leptospi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Prohlédněte si morfologii leptospir kultivovaných na tekutém Korthoffově médiu po dva týdny. Pro test byla použita moč pacienta s podezřením na leptospirózu. Pro urychlení máte vyplněno.</w:t>
      </w:r>
    </w:p>
    <w:p w:rsidR="00557071" w:rsidRDefault="00557071" w:rsidP="00557071">
      <w:pPr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2125980" cy="1537335"/>
            <wp:effectExtent l="0" t="0" r="7620" b="5715"/>
            <wp:docPr id="13" name="Obrázek 13" descr="Leptosp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ptospi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7A" w:rsidRDefault="0089627A" w:rsidP="00557071">
      <w:pPr>
        <w:pStyle w:val="Nadpis2"/>
        <w:rPr>
          <w:b w:val="0"/>
          <w:iCs w:val="0"/>
        </w:rPr>
      </w:pPr>
    </w:p>
    <w:sectPr w:rsidR="0089627A" w:rsidSect="001F142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81" w:rsidRDefault="00053B81">
      <w:r>
        <w:separator/>
      </w:r>
    </w:p>
  </w:endnote>
  <w:endnote w:type="continuationSeparator" w:id="1">
    <w:p w:rsidR="00053B81" w:rsidRDefault="0005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A" w:rsidRPr="00FB1A9B" w:rsidRDefault="00FB1A9B" w:rsidP="0031766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557071">
      <w:rPr>
        <w:sz w:val="24"/>
        <w:szCs w:val="24"/>
      </w:rPr>
      <w:t>6</w:t>
    </w:r>
    <w:r w:rsidRPr="00691B52">
      <w:rPr>
        <w:sz w:val="24"/>
        <w:szCs w:val="24"/>
      </w:rPr>
      <w:t>. 11. 201</w:t>
    </w:r>
    <w:r w:rsidR="00557071">
      <w:rPr>
        <w:sz w:val="24"/>
        <w:szCs w:val="24"/>
      </w:rPr>
      <w:t>8</w:t>
    </w:r>
    <w:r w:rsidRPr="00691B52">
      <w:rPr>
        <w:sz w:val="24"/>
        <w:szCs w:val="24"/>
      </w:rPr>
      <w:tab/>
      <w:t xml:space="preserve">Strana </w:t>
    </w:r>
    <w:r w:rsidR="00E4148C" w:rsidRPr="00691B52">
      <w:rPr>
        <w:rStyle w:val="slostrnky"/>
        <w:szCs w:val="24"/>
      </w:rPr>
      <w:fldChar w:fldCharType="begin"/>
    </w:r>
    <w:r w:rsidRPr="00691B52">
      <w:rPr>
        <w:rStyle w:val="slostrnky"/>
        <w:szCs w:val="24"/>
      </w:rPr>
      <w:instrText xml:space="preserve"> PAGE </w:instrText>
    </w:r>
    <w:r w:rsidR="00E4148C" w:rsidRPr="00691B52">
      <w:rPr>
        <w:rStyle w:val="slostrnky"/>
        <w:szCs w:val="24"/>
      </w:rPr>
      <w:fldChar w:fldCharType="separate"/>
    </w:r>
    <w:r w:rsidR="00BE498F">
      <w:rPr>
        <w:rStyle w:val="slostrnky"/>
        <w:noProof/>
        <w:szCs w:val="24"/>
      </w:rPr>
      <w:t>1</w:t>
    </w:r>
    <w:r w:rsidR="00E4148C" w:rsidRPr="00691B52">
      <w:rPr>
        <w:rStyle w:val="slostrnky"/>
        <w:szCs w:val="24"/>
      </w:rPr>
      <w:fldChar w:fldCharType="end"/>
    </w:r>
    <w:r w:rsidRPr="00691B52">
      <w:rPr>
        <w:rStyle w:val="slostrnky"/>
        <w:szCs w:val="24"/>
      </w:rPr>
      <w:t>/</w:t>
    </w:r>
    <w:r>
      <w:rPr>
        <w:rStyle w:val="slostrnky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81" w:rsidRDefault="00053B81">
      <w:r>
        <w:separator/>
      </w:r>
    </w:p>
  </w:footnote>
  <w:footnote w:type="continuationSeparator" w:id="1">
    <w:p w:rsidR="00053B81" w:rsidRDefault="00053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9B" w:rsidRPr="000120DA" w:rsidRDefault="00FB1A9B" w:rsidP="00FB1A9B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</w:t>
    </w:r>
    <w:r>
      <w:rPr>
        <w:sz w:val="24"/>
        <w:szCs w:val="24"/>
      </w:rPr>
      <w:t>08</w:t>
    </w:r>
  </w:p>
  <w:p w:rsidR="0089627A" w:rsidRPr="00FB1A9B" w:rsidRDefault="0089627A" w:rsidP="00FB1A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172E0"/>
    <w:rsid w:val="00033967"/>
    <w:rsid w:val="00053B81"/>
    <w:rsid w:val="000F4B55"/>
    <w:rsid w:val="001A2E66"/>
    <w:rsid w:val="001F142E"/>
    <w:rsid w:val="00207EBF"/>
    <w:rsid w:val="003023CE"/>
    <w:rsid w:val="00317664"/>
    <w:rsid w:val="00401DF8"/>
    <w:rsid w:val="00475405"/>
    <w:rsid w:val="004D481C"/>
    <w:rsid w:val="00516422"/>
    <w:rsid w:val="00557071"/>
    <w:rsid w:val="0064259E"/>
    <w:rsid w:val="00665CFD"/>
    <w:rsid w:val="00692BD5"/>
    <w:rsid w:val="006E132A"/>
    <w:rsid w:val="007172E0"/>
    <w:rsid w:val="00822A6E"/>
    <w:rsid w:val="0089627A"/>
    <w:rsid w:val="008B43C9"/>
    <w:rsid w:val="008E402B"/>
    <w:rsid w:val="00A04DDF"/>
    <w:rsid w:val="00AB0417"/>
    <w:rsid w:val="00AC5355"/>
    <w:rsid w:val="00AF28E1"/>
    <w:rsid w:val="00BE498F"/>
    <w:rsid w:val="00E4148C"/>
    <w:rsid w:val="00E81EA0"/>
    <w:rsid w:val="00FB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42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1F142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F142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1F142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142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1F142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F142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1F142E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14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142E"/>
    <w:rPr>
      <w:sz w:val="24"/>
    </w:rPr>
  </w:style>
  <w:style w:type="paragraph" w:styleId="Zkladntext">
    <w:name w:val="Body Text"/>
    <w:basedOn w:val="Normln"/>
    <w:rsid w:val="001F142E"/>
    <w:rPr>
      <w:i/>
      <w:iCs/>
      <w:lang w:val="en-US"/>
    </w:rPr>
  </w:style>
  <w:style w:type="paragraph" w:styleId="Zkladntextodsazen2">
    <w:name w:val="Body Text Indent 2"/>
    <w:basedOn w:val="Normln"/>
    <w:rsid w:val="001F142E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1F142E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E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1636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Jméno………………………Kruh……………………………</vt:lpstr>
    </vt:vector>
  </TitlesOfParts>
  <Company> 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Jméno………………………Kruh……………………………</dc:title>
  <dc:subject/>
  <dc:creator>Ondřej Zahradníček</dc:creator>
  <cp:keywords/>
  <dc:description/>
  <cp:lastModifiedBy>Rodina</cp:lastModifiedBy>
  <cp:revision>6</cp:revision>
  <dcterms:created xsi:type="dcterms:W3CDTF">2018-10-29T15:35:00Z</dcterms:created>
  <dcterms:modified xsi:type="dcterms:W3CDTF">2018-10-30T21:14:00Z</dcterms:modified>
</cp:coreProperties>
</file>