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48" w:rsidRPr="00897E15" w:rsidRDefault="009D2448" w:rsidP="009D2448">
      <w:pPr>
        <w:spacing w:line="312" w:lineRule="exact"/>
        <w:jc w:val="center"/>
        <w:rPr>
          <w:b/>
          <w:bCs/>
          <w:sz w:val="28"/>
          <w:szCs w:val="28"/>
        </w:rPr>
      </w:pPr>
      <w:r w:rsidRPr="009D2448">
        <w:rPr>
          <w:b/>
          <w:bCs/>
          <w:sz w:val="28"/>
          <w:szCs w:val="28"/>
        </w:rPr>
        <w:t xml:space="preserve">The urease </w:t>
      </w:r>
      <w:r>
        <w:rPr>
          <w:b/>
          <w:bCs/>
          <w:sz w:val="28"/>
          <w:szCs w:val="28"/>
        </w:rPr>
        <w:t>biosensor</w:t>
      </w:r>
      <w:r w:rsidRPr="009D2448">
        <w:rPr>
          <w:b/>
          <w:bCs/>
          <w:sz w:val="28"/>
          <w:szCs w:val="28"/>
        </w:rPr>
        <w:t xml:space="preserve"> based on </w:t>
      </w:r>
      <w:proofErr w:type="gramStart"/>
      <w:r w:rsidRPr="009D2448">
        <w:rPr>
          <w:b/>
          <w:bCs/>
          <w:sz w:val="28"/>
          <w:szCs w:val="28"/>
        </w:rPr>
        <w:t>Eu(</w:t>
      </w:r>
      <w:proofErr w:type="gramEnd"/>
      <w:r w:rsidRPr="009D2448">
        <w:rPr>
          <w:b/>
          <w:bCs/>
          <w:sz w:val="28"/>
          <w:szCs w:val="28"/>
        </w:rPr>
        <w:t>III) ternary complex of DO3A ligand</w:t>
      </w:r>
    </w:p>
    <w:p w:rsidR="007B3EA2" w:rsidRPr="00897E15" w:rsidRDefault="007B3EA2" w:rsidP="00C772EF">
      <w:pPr>
        <w:spacing w:line="312" w:lineRule="exact"/>
        <w:jc w:val="center"/>
        <w:rPr>
          <w:sz w:val="24"/>
        </w:rPr>
      </w:pPr>
    </w:p>
    <w:p w:rsidR="009D2448" w:rsidRDefault="009D2448" w:rsidP="00673F2F">
      <w:pPr>
        <w:pStyle w:val="Stile1"/>
        <w:spacing w:line="312" w:lineRule="exact"/>
        <w:ind w:right="45"/>
        <w:rPr>
          <w:sz w:val="24"/>
          <w:vertAlign w:val="superscript"/>
        </w:rPr>
      </w:pPr>
      <w:r w:rsidRPr="009D2448">
        <w:rPr>
          <w:sz w:val="24"/>
          <w:u w:val="single"/>
        </w:rPr>
        <w:t>Filip Smrčka</w:t>
      </w:r>
      <w:proofErr w:type="gramStart"/>
      <w:r>
        <w:rPr>
          <w:sz w:val="24"/>
        </w:rPr>
        <w:t>,</w:t>
      </w:r>
      <w:proofErr w:type="gramEnd"/>
      <w:r>
        <w:rPr>
          <w:sz w:val="24"/>
          <w:vertAlign w:val="superscript"/>
        </w:rPr>
        <w:t>a)</w:t>
      </w:r>
      <w:r>
        <w:rPr>
          <w:sz w:val="24"/>
        </w:rPr>
        <w:t xml:space="preserve"> </w:t>
      </w:r>
      <w:r w:rsidRPr="009D2448">
        <w:rPr>
          <w:sz w:val="24"/>
        </w:rPr>
        <w:t>Přemysl Lubal</w:t>
      </w:r>
      <w:r>
        <w:rPr>
          <w:sz w:val="24"/>
        </w:rPr>
        <w:t>,</w:t>
      </w:r>
      <w:r>
        <w:rPr>
          <w:sz w:val="24"/>
          <w:vertAlign w:val="superscript"/>
        </w:rPr>
        <w:t>a,b)</w:t>
      </w:r>
    </w:p>
    <w:p w:rsidR="009D2448" w:rsidRDefault="009D2448" w:rsidP="009D2448">
      <w:pPr>
        <w:spacing w:line="312" w:lineRule="exact"/>
        <w:ind w:left="720"/>
        <w:rPr>
          <w:i/>
          <w:iCs/>
          <w:sz w:val="24"/>
          <w:vertAlign w:val="superscript"/>
        </w:rPr>
      </w:pPr>
    </w:p>
    <w:p w:rsidR="009D2448" w:rsidRPr="003E57DF" w:rsidRDefault="009D2448" w:rsidP="009D2448">
      <w:pPr>
        <w:numPr>
          <w:ilvl w:val="0"/>
          <w:numId w:val="1"/>
        </w:numPr>
        <w:spacing w:line="312" w:lineRule="exact"/>
        <w:rPr>
          <w:i/>
          <w:iCs/>
          <w:sz w:val="24"/>
        </w:rPr>
      </w:pPr>
      <w:r w:rsidRPr="009D2448">
        <w:rPr>
          <w:i/>
          <w:iCs/>
          <w:sz w:val="24"/>
          <w:vertAlign w:val="superscript"/>
        </w:rPr>
        <w:t xml:space="preserve"> </w:t>
      </w:r>
      <w:r w:rsidR="00283B94" w:rsidRPr="003E57DF">
        <w:rPr>
          <w:i/>
          <w:iCs/>
          <w:sz w:val="24"/>
        </w:rPr>
        <w:t xml:space="preserve">Department of Chemistry, Faculty of Science, </w:t>
      </w:r>
      <w:r w:rsidRPr="003E57DF">
        <w:rPr>
          <w:i/>
          <w:iCs/>
          <w:sz w:val="24"/>
        </w:rPr>
        <w:t xml:space="preserve">Masaryk University, Kotlářská 2, </w:t>
      </w:r>
      <w:r w:rsidR="003E57DF">
        <w:rPr>
          <w:i/>
          <w:iCs/>
          <w:sz w:val="24"/>
        </w:rPr>
        <w:t xml:space="preserve">    </w:t>
      </w:r>
      <w:r w:rsidRPr="003E57DF">
        <w:rPr>
          <w:i/>
          <w:iCs/>
          <w:sz w:val="24"/>
        </w:rPr>
        <w:t>CZ–611 37 Brno, Czech Republic</w:t>
      </w:r>
    </w:p>
    <w:p w:rsidR="007B3EA2" w:rsidRPr="003E57DF" w:rsidRDefault="009D2448" w:rsidP="009D2448">
      <w:pPr>
        <w:numPr>
          <w:ilvl w:val="0"/>
          <w:numId w:val="1"/>
        </w:numPr>
        <w:spacing w:line="312" w:lineRule="exact"/>
        <w:rPr>
          <w:i/>
          <w:iCs/>
          <w:sz w:val="24"/>
        </w:rPr>
      </w:pPr>
      <w:r w:rsidRPr="003E57DF">
        <w:rPr>
          <w:i/>
          <w:iCs/>
          <w:sz w:val="24"/>
        </w:rPr>
        <w:t>Central European Institute of Tech</w:t>
      </w:r>
      <w:bookmarkStart w:id="0" w:name="_GoBack"/>
      <w:bookmarkEnd w:id="0"/>
      <w:r w:rsidRPr="003E57DF">
        <w:rPr>
          <w:i/>
          <w:iCs/>
          <w:sz w:val="24"/>
        </w:rPr>
        <w:t>nology</w:t>
      </w:r>
      <w:r w:rsidR="00283B94">
        <w:rPr>
          <w:i/>
          <w:iCs/>
          <w:sz w:val="24"/>
        </w:rPr>
        <w:t xml:space="preserve"> (</w:t>
      </w:r>
      <w:r w:rsidR="003E57DF">
        <w:rPr>
          <w:i/>
          <w:iCs/>
          <w:sz w:val="24"/>
        </w:rPr>
        <w:t>CEITEC</w:t>
      </w:r>
      <w:r w:rsidR="00283B94">
        <w:rPr>
          <w:i/>
          <w:iCs/>
          <w:sz w:val="24"/>
        </w:rPr>
        <w:t>)</w:t>
      </w:r>
      <w:r w:rsidR="003E57DF">
        <w:rPr>
          <w:i/>
          <w:iCs/>
          <w:sz w:val="24"/>
        </w:rPr>
        <w:t xml:space="preserve">, Masaryk University, </w:t>
      </w:r>
      <w:r w:rsidRPr="003E57DF">
        <w:rPr>
          <w:i/>
          <w:iCs/>
          <w:sz w:val="24"/>
        </w:rPr>
        <w:t>Kamenice 5, CZ–625 00 Brno, Czech Republic</w:t>
      </w:r>
    </w:p>
    <w:p w:rsidR="009D2448" w:rsidRDefault="009D2448" w:rsidP="00C772EF">
      <w:pPr>
        <w:spacing w:line="312" w:lineRule="exact"/>
        <w:ind w:firstLine="567"/>
        <w:rPr>
          <w:sz w:val="24"/>
        </w:rPr>
      </w:pPr>
    </w:p>
    <w:p w:rsidR="009D2448" w:rsidRDefault="0095777B" w:rsidP="0095777B">
      <w:pPr>
        <w:spacing w:line="312" w:lineRule="exact"/>
        <w:ind w:firstLine="567"/>
        <w:rPr>
          <w:sz w:val="24"/>
        </w:rPr>
      </w:pPr>
      <w:r w:rsidRPr="0095777B">
        <w:rPr>
          <w:sz w:val="24"/>
        </w:rPr>
        <w:t xml:space="preserve">Specific spectroscopic, electrochemical and magnetic properties of </w:t>
      </w:r>
      <w:proofErr w:type="gramStart"/>
      <w:r w:rsidRPr="0095777B">
        <w:rPr>
          <w:sz w:val="24"/>
        </w:rPr>
        <w:t>Ln(</w:t>
      </w:r>
      <w:proofErr w:type="gramEnd"/>
      <w:r w:rsidRPr="0095777B">
        <w:rPr>
          <w:sz w:val="24"/>
        </w:rPr>
        <w:t xml:space="preserve">III) ions make them perfect candidates for use in many chemical, biological and environmental systems. </w:t>
      </w:r>
      <w:proofErr w:type="gramStart"/>
      <w:r w:rsidRPr="0095777B">
        <w:rPr>
          <w:sz w:val="24"/>
        </w:rPr>
        <w:t>Ln(</w:t>
      </w:r>
      <w:proofErr w:type="gramEnd"/>
      <w:r w:rsidRPr="0095777B">
        <w:rPr>
          <w:sz w:val="24"/>
        </w:rPr>
        <w:t>III) complexes with macrocyclic ligands (mainly DOTA derivatives) are commonly utilized in medicinal chemistry as radiopharmaceuticals</w:t>
      </w:r>
      <w:r>
        <w:rPr>
          <w:sz w:val="24"/>
        </w:rPr>
        <w:t xml:space="preserve"> (</w:t>
      </w:r>
      <w:r w:rsidRPr="00EF6ECB">
        <w:rPr>
          <w:sz w:val="24"/>
          <w:vertAlign w:val="superscript"/>
        </w:rPr>
        <w:t>90</w:t>
      </w:r>
      <w:r>
        <w:rPr>
          <w:sz w:val="24"/>
        </w:rPr>
        <w:t xml:space="preserve">Y, </w:t>
      </w:r>
      <w:r w:rsidRPr="00EF6ECB">
        <w:rPr>
          <w:sz w:val="24"/>
          <w:vertAlign w:val="superscript"/>
        </w:rPr>
        <w:t>153</w:t>
      </w:r>
      <w:r>
        <w:rPr>
          <w:sz w:val="24"/>
        </w:rPr>
        <w:t xml:space="preserve">Sm, </w:t>
      </w:r>
      <w:r w:rsidRPr="00EF6ECB">
        <w:rPr>
          <w:sz w:val="24"/>
          <w:vertAlign w:val="superscript"/>
        </w:rPr>
        <w:t>166</w:t>
      </w:r>
      <w:r>
        <w:rPr>
          <w:sz w:val="24"/>
        </w:rPr>
        <w:t xml:space="preserve">Ho, </w:t>
      </w:r>
      <w:r w:rsidRPr="00EF6ECB">
        <w:rPr>
          <w:sz w:val="24"/>
          <w:vertAlign w:val="superscript"/>
        </w:rPr>
        <w:t>177</w:t>
      </w:r>
      <w:r>
        <w:rPr>
          <w:sz w:val="24"/>
        </w:rPr>
        <w:t>Lu)</w:t>
      </w:r>
      <w:r w:rsidR="003552C1">
        <w:rPr>
          <w:sz w:val="24"/>
        </w:rPr>
        <w:t xml:space="preserve"> [1</w:t>
      </w:r>
      <w:r w:rsidR="008A629C">
        <w:rPr>
          <w:sz w:val="24"/>
        </w:rPr>
        <w:t>,2</w:t>
      </w:r>
      <w:r w:rsidR="003552C1">
        <w:rPr>
          <w:sz w:val="24"/>
        </w:rPr>
        <w:t>]</w:t>
      </w:r>
      <w:r>
        <w:rPr>
          <w:sz w:val="24"/>
        </w:rPr>
        <w:t xml:space="preserve"> </w:t>
      </w:r>
      <w:r w:rsidRPr="0095777B">
        <w:rPr>
          <w:sz w:val="24"/>
        </w:rPr>
        <w:t xml:space="preserve">and </w:t>
      </w:r>
      <w:r>
        <w:rPr>
          <w:sz w:val="24"/>
        </w:rPr>
        <w:t>contrast agents for MRI (Gd)</w:t>
      </w:r>
      <w:r w:rsidR="00EF6ECB">
        <w:rPr>
          <w:sz w:val="24"/>
        </w:rPr>
        <w:t xml:space="preserve"> [</w:t>
      </w:r>
      <w:r w:rsidR="003552C1">
        <w:rPr>
          <w:sz w:val="24"/>
        </w:rPr>
        <w:t>3</w:t>
      </w:r>
      <w:r w:rsidR="00EF6ECB">
        <w:rPr>
          <w:sz w:val="24"/>
        </w:rPr>
        <w:t>]</w:t>
      </w:r>
      <w:r>
        <w:rPr>
          <w:sz w:val="24"/>
        </w:rPr>
        <w:t>.</w:t>
      </w:r>
    </w:p>
    <w:p w:rsidR="0095777B" w:rsidRDefault="0031546D" w:rsidP="0095777B">
      <w:pPr>
        <w:spacing w:before="120" w:line="312" w:lineRule="exact"/>
        <w:ind w:firstLine="567"/>
        <w:rPr>
          <w:sz w:val="24"/>
        </w:rPr>
      </w:pPr>
      <w:r>
        <w:rPr>
          <w:b/>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5pt;margin-top:204.3pt;width:424.85pt;height:142.55pt;z-index:1">
            <v:imagedata r:id="rId8" o:title=""/>
            <w10:wrap type="square"/>
          </v:shape>
        </w:pict>
      </w:r>
      <w:r w:rsidR="008A629C">
        <w:rPr>
          <w:sz w:val="24"/>
        </w:rPr>
        <w:t>T</w:t>
      </w:r>
      <w:r w:rsidR="0095777B" w:rsidRPr="0095777B">
        <w:rPr>
          <w:sz w:val="24"/>
        </w:rPr>
        <w:t>he 1</w:t>
      </w:r>
      <w:proofErr w:type="gramStart"/>
      <w:r w:rsidR="0095777B" w:rsidRPr="0095777B">
        <w:rPr>
          <w:sz w:val="24"/>
        </w:rPr>
        <w:t>,4,7,10</w:t>
      </w:r>
      <w:proofErr w:type="gramEnd"/>
      <w:r w:rsidR="0095777B" w:rsidRPr="0095777B">
        <w:rPr>
          <w:sz w:val="24"/>
        </w:rPr>
        <w:t>-tetraazacyclododecane-1,4,7-triacetic acid (H</w:t>
      </w:r>
      <w:r w:rsidR="0095777B" w:rsidRPr="004637F6">
        <w:rPr>
          <w:sz w:val="24"/>
          <w:vertAlign w:val="subscript"/>
        </w:rPr>
        <w:t>3</w:t>
      </w:r>
      <w:r w:rsidR="0095777B" w:rsidRPr="0095777B">
        <w:rPr>
          <w:sz w:val="24"/>
        </w:rPr>
        <w:t>DO3A) as heptadentate ligand form</w:t>
      </w:r>
      <w:r w:rsidR="00057BED">
        <w:rPr>
          <w:sz w:val="24"/>
        </w:rPr>
        <w:t xml:space="preserve">s </w:t>
      </w:r>
      <w:r w:rsidR="00582C4F">
        <w:rPr>
          <w:sz w:val="24"/>
        </w:rPr>
        <w:t xml:space="preserve">a </w:t>
      </w:r>
      <w:r w:rsidR="00057BED">
        <w:rPr>
          <w:sz w:val="24"/>
        </w:rPr>
        <w:t>stable complex</w:t>
      </w:r>
      <w:r w:rsidR="0095777B" w:rsidRPr="0095777B">
        <w:rPr>
          <w:sz w:val="24"/>
        </w:rPr>
        <w:t xml:space="preserve"> with europium(III)</w:t>
      </w:r>
      <w:r w:rsidR="008A629C">
        <w:rPr>
          <w:sz w:val="24"/>
        </w:rPr>
        <w:t>/terbium(III)</w:t>
      </w:r>
      <w:r w:rsidR="0095777B" w:rsidRPr="0095777B">
        <w:rPr>
          <w:sz w:val="24"/>
        </w:rPr>
        <w:t xml:space="preserve"> </w:t>
      </w:r>
      <w:r w:rsidR="00057BED">
        <w:rPr>
          <w:sz w:val="24"/>
        </w:rPr>
        <w:t>aqua ion. Th</w:t>
      </w:r>
      <w:r w:rsidR="008A629C">
        <w:rPr>
          <w:sz w:val="24"/>
        </w:rPr>
        <w:t>e</w:t>
      </w:r>
      <w:r w:rsidR="00057BED">
        <w:rPr>
          <w:sz w:val="24"/>
        </w:rPr>
        <w:t xml:space="preserve"> </w:t>
      </w:r>
      <w:r w:rsidR="008A629C">
        <w:rPr>
          <w:sz w:val="24"/>
        </w:rPr>
        <w:t>ternary [Ln(</w:t>
      </w:r>
      <w:r w:rsidR="008A629C" w:rsidRPr="0095777B">
        <w:rPr>
          <w:sz w:val="24"/>
        </w:rPr>
        <w:t>DO3A</w:t>
      </w:r>
      <w:r w:rsidR="008A629C">
        <w:rPr>
          <w:sz w:val="24"/>
        </w:rPr>
        <w:t xml:space="preserve">)L] </w:t>
      </w:r>
      <w:r w:rsidR="00057BED">
        <w:rPr>
          <w:sz w:val="24"/>
        </w:rPr>
        <w:t>complex</w:t>
      </w:r>
      <w:r w:rsidR="008A629C">
        <w:rPr>
          <w:sz w:val="24"/>
        </w:rPr>
        <w:t xml:space="preserve"> </w:t>
      </w:r>
      <w:r w:rsidR="000C1E84">
        <w:rPr>
          <w:sz w:val="24"/>
        </w:rPr>
        <w:t xml:space="preserve">exhibits a high luminescence due to </w:t>
      </w:r>
      <w:r w:rsidR="000C1E84" w:rsidRPr="0095777B">
        <w:rPr>
          <w:sz w:val="24"/>
        </w:rPr>
        <w:t>antenna effect leading to sensitization of Eu(III)</w:t>
      </w:r>
      <w:r w:rsidR="000C1E84">
        <w:rPr>
          <w:sz w:val="24"/>
        </w:rPr>
        <w:t>/Tb(III)</w:t>
      </w:r>
      <w:r w:rsidR="000C1E84" w:rsidRPr="0095777B">
        <w:rPr>
          <w:sz w:val="24"/>
        </w:rPr>
        <w:t xml:space="preserve"> luminescence by a fluorophore (</w:t>
      </w:r>
      <w:r w:rsidR="000C1E84" w:rsidRPr="005873AD">
        <w:rPr>
          <w:i/>
          <w:sz w:val="24"/>
        </w:rPr>
        <w:t>e.g.</w:t>
      </w:r>
      <w:r w:rsidR="000C1E84" w:rsidRPr="0095777B">
        <w:rPr>
          <w:sz w:val="24"/>
        </w:rPr>
        <w:t xml:space="preserve"> picolinic or isoquinolic acid) via efficient energy transfer from ligand to </w:t>
      </w:r>
      <w:r w:rsidR="000C1E84">
        <w:rPr>
          <w:sz w:val="24"/>
        </w:rPr>
        <w:t>Ln</w:t>
      </w:r>
      <w:r w:rsidR="000C1E84" w:rsidRPr="0095777B">
        <w:rPr>
          <w:sz w:val="24"/>
        </w:rPr>
        <w:t>(III)</w:t>
      </w:r>
      <w:r w:rsidR="005873AD">
        <w:rPr>
          <w:sz w:val="24"/>
        </w:rPr>
        <w:t xml:space="preserve"> ion</w:t>
      </w:r>
      <w:r>
        <w:rPr>
          <w:sz w:val="24"/>
        </w:rPr>
        <w:t xml:space="preserve">. </w:t>
      </w:r>
      <w:r w:rsidR="005873AD">
        <w:rPr>
          <w:sz w:val="24"/>
        </w:rPr>
        <w:t>T</w:t>
      </w:r>
      <w:r w:rsidR="0095777B" w:rsidRPr="0095777B">
        <w:rPr>
          <w:sz w:val="24"/>
        </w:rPr>
        <w:t xml:space="preserve">he utilization of </w:t>
      </w:r>
      <w:r>
        <w:rPr>
          <w:sz w:val="24"/>
        </w:rPr>
        <w:t xml:space="preserve">those </w:t>
      </w:r>
      <w:r w:rsidR="0095777B" w:rsidRPr="0095777B">
        <w:rPr>
          <w:sz w:val="24"/>
        </w:rPr>
        <w:t xml:space="preserve">ternary Eu(III) and Tb(III) complexes </w:t>
      </w:r>
      <w:r>
        <w:rPr>
          <w:sz w:val="24"/>
        </w:rPr>
        <w:t xml:space="preserve">as </w:t>
      </w:r>
      <w:r w:rsidR="0095777B" w:rsidRPr="0095777B">
        <w:rPr>
          <w:sz w:val="24"/>
        </w:rPr>
        <w:t xml:space="preserve">selective </w:t>
      </w:r>
      <w:r>
        <w:rPr>
          <w:sz w:val="24"/>
        </w:rPr>
        <w:t xml:space="preserve">dual </w:t>
      </w:r>
      <w:r w:rsidR="0095777B" w:rsidRPr="0095777B">
        <w:rPr>
          <w:sz w:val="24"/>
        </w:rPr>
        <w:t>luminescence</w:t>
      </w:r>
      <w:r>
        <w:rPr>
          <w:sz w:val="24"/>
        </w:rPr>
        <w:t>/electrochemical</w:t>
      </w:r>
      <w:r w:rsidR="0095777B" w:rsidRPr="0095777B">
        <w:rPr>
          <w:sz w:val="24"/>
        </w:rPr>
        <w:t xml:space="preserve"> sensors for determination of carbonate</w:t>
      </w:r>
      <w:r>
        <w:rPr>
          <w:sz w:val="24"/>
        </w:rPr>
        <w:t xml:space="preserve">/oxalate using </w:t>
      </w:r>
      <w:r w:rsidRPr="0095777B">
        <w:rPr>
          <w:sz w:val="24"/>
        </w:rPr>
        <w:t>substitution reaction</w:t>
      </w:r>
      <w:r w:rsidR="005873AD">
        <w:rPr>
          <w:sz w:val="24"/>
        </w:rPr>
        <w:t xml:space="preserve"> was reported</w:t>
      </w:r>
      <w:r>
        <w:rPr>
          <w:sz w:val="24"/>
        </w:rPr>
        <w:t xml:space="preserve"> [4, 5]</w:t>
      </w:r>
      <w:r w:rsidR="0095777B" w:rsidRPr="0095777B">
        <w:rPr>
          <w:sz w:val="24"/>
        </w:rPr>
        <w:t>. This</w:t>
      </w:r>
      <w:r w:rsidR="00005B0D">
        <w:rPr>
          <w:sz w:val="24"/>
        </w:rPr>
        <w:t xml:space="preserve"> </w:t>
      </w:r>
      <w:r w:rsidR="0095777B" w:rsidRPr="0095777B">
        <w:rPr>
          <w:sz w:val="24"/>
        </w:rPr>
        <w:t>was</w:t>
      </w:r>
      <w:r>
        <w:rPr>
          <w:sz w:val="24"/>
        </w:rPr>
        <w:t xml:space="preserve"> also</w:t>
      </w:r>
      <w:r w:rsidR="0095777B" w:rsidRPr="0095777B">
        <w:rPr>
          <w:sz w:val="24"/>
        </w:rPr>
        <w:t xml:space="preserve"> employed for indirect determination of carbonate formed in the course of urea hydrolysis catalyzed by the urease enzyme</w:t>
      </w:r>
      <w:r w:rsidR="004637F6">
        <w:rPr>
          <w:sz w:val="24"/>
        </w:rPr>
        <w:t xml:space="preserve"> (</w:t>
      </w:r>
      <w:r w:rsidR="00582C4F">
        <w:rPr>
          <w:sz w:val="24"/>
        </w:rPr>
        <w:t xml:space="preserve">see </w:t>
      </w:r>
      <w:r w:rsidR="004637F6" w:rsidRPr="004637F6">
        <w:rPr>
          <w:sz w:val="28"/>
        </w:rPr>
        <w:fldChar w:fldCharType="begin"/>
      </w:r>
      <w:r w:rsidR="004637F6" w:rsidRPr="004637F6">
        <w:rPr>
          <w:sz w:val="28"/>
        </w:rPr>
        <w:instrText xml:space="preserve"> REF _Ref511731241 \h </w:instrText>
      </w:r>
      <w:r w:rsidR="004637F6" w:rsidRPr="004637F6">
        <w:rPr>
          <w:sz w:val="28"/>
        </w:rPr>
      </w:r>
      <w:r w:rsidR="004637F6">
        <w:rPr>
          <w:sz w:val="28"/>
        </w:rPr>
        <w:instrText xml:space="preserve"> \* MERGEFORMAT </w:instrText>
      </w:r>
      <w:r w:rsidR="004637F6" w:rsidRPr="004637F6">
        <w:rPr>
          <w:sz w:val="28"/>
        </w:rPr>
        <w:fldChar w:fldCharType="separate"/>
      </w:r>
      <w:r w:rsidR="004637F6" w:rsidRPr="004637F6">
        <w:rPr>
          <w:sz w:val="24"/>
        </w:rPr>
        <w:t>Scheme</w:t>
      </w:r>
      <w:r w:rsidR="004637F6" w:rsidRPr="004637F6">
        <w:rPr>
          <w:sz w:val="28"/>
        </w:rPr>
        <w:fldChar w:fldCharType="end"/>
      </w:r>
      <w:r w:rsidR="004637F6">
        <w:rPr>
          <w:sz w:val="24"/>
        </w:rPr>
        <w:t>)</w:t>
      </w:r>
      <w:r w:rsidR="0095777B" w:rsidRPr="0095777B">
        <w:rPr>
          <w:sz w:val="24"/>
        </w:rPr>
        <w:t>. This new analytical procedure was proposed for the determination of both analytes (urea, urease) and th</w:t>
      </w:r>
      <w:r w:rsidR="00D217CF">
        <w:rPr>
          <w:sz w:val="24"/>
        </w:rPr>
        <w:t>e</w:t>
      </w:r>
      <w:r w:rsidR="0095777B" w:rsidRPr="0095777B">
        <w:rPr>
          <w:sz w:val="24"/>
        </w:rPr>
        <w:t xml:space="preserve"> luminescence-based biosensor can be used in both kinetic time-dependent as well as equilibrium end-point modes</w:t>
      </w:r>
      <w:r w:rsidR="001751A0">
        <w:rPr>
          <w:sz w:val="24"/>
        </w:rPr>
        <w:t xml:space="preserve"> [6].</w:t>
      </w:r>
    </w:p>
    <w:p w:rsidR="0095777B" w:rsidRDefault="0031546D" w:rsidP="00C772EF">
      <w:pPr>
        <w:spacing w:line="312" w:lineRule="exact"/>
        <w:rPr>
          <w:b/>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2pt;margin-top:157.75pt;width:424.85pt;height:29.2pt;z-index:2" stroked="f">
            <v:textbox style="mso-fit-shape-to-text:t" inset="0,0,0,0">
              <w:txbxContent>
                <w:p w:rsidR="00EF6ECB" w:rsidRPr="00EF6ECB" w:rsidRDefault="00EF6ECB" w:rsidP="00EF6ECB">
                  <w:pPr>
                    <w:pStyle w:val="Titulek"/>
                    <w:rPr>
                      <w:b w:val="0"/>
                      <w:noProof/>
                      <w:szCs w:val="24"/>
                    </w:rPr>
                  </w:pPr>
                  <w:bookmarkStart w:id="1" w:name="_Ref511731241"/>
                  <w:r>
                    <w:t>Scheme</w:t>
                  </w:r>
                  <w:bookmarkEnd w:id="1"/>
                  <w:r>
                    <w:t xml:space="preserve">: </w:t>
                  </w:r>
                  <w:r w:rsidRPr="00EF6ECB">
                    <w:rPr>
                      <w:b w:val="0"/>
                    </w:rPr>
                    <w:t>The cascade reaction of the ternary [</w:t>
                  </w:r>
                  <w:proofErr w:type="gramStart"/>
                  <w:r w:rsidRPr="00EF6ECB">
                    <w:rPr>
                      <w:b w:val="0"/>
                    </w:rPr>
                    <w:t>Eu(</w:t>
                  </w:r>
                  <w:proofErr w:type="gramEnd"/>
                  <w:r w:rsidRPr="00EF6ECB">
                    <w:rPr>
                      <w:b w:val="0"/>
                    </w:rPr>
                    <w:t>DO3A)(Pic)]- complex employed for enzymatic determination of urea</w:t>
                  </w:r>
                  <w:r w:rsidRPr="00EF6ECB">
                    <w:t>.</w:t>
                  </w:r>
                </w:p>
              </w:txbxContent>
            </v:textbox>
            <w10:wrap type="square"/>
          </v:shape>
        </w:pict>
      </w:r>
    </w:p>
    <w:p w:rsidR="00EF6ECB" w:rsidRDefault="00EF6ECB" w:rsidP="00EF6ECB">
      <w:pPr>
        <w:spacing w:before="120" w:line="312" w:lineRule="exact"/>
        <w:ind w:firstLine="567"/>
        <w:rPr>
          <w:sz w:val="24"/>
        </w:rPr>
      </w:pPr>
      <w:r>
        <w:rPr>
          <w:sz w:val="24"/>
        </w:rPr>
        <w:br w:type="page"/>
      </w:r>
      <w:r w:rsidRPr="00EF6ECB">
        <w:rPr>
          <w:sz w:val="24"/>
        </w:rPr>
        <w:lastRenderedPageBreak/>
        <w:t>The inhibition effect of some metal ions</w:t>
      </w:r>
      <w:r w:rsidR="001751A0">
        <w:rPr>
          <w:sz w:val="24"/>
        </w:rPr>
        <w:t xml:space="preserve"> (</w:t>
      </w:r>
      <w:r w:rsidR="001751A0" w:rsidRPr="00B57003">
        <w:rPr>
          <w:i/>
          <w:sz w:val="24"/>
        </w:rPr>
        <w:t>e.g.</w:t>
      </w:r>
      <w:r w:rsidR="001751A0">
        <w:rPr>
          <w:sz w:val="24"/>
        </w:rPr>
        <w:t xml:space="preserve"> Ag</w:t>
      </w:r>
      <w:r w:rsidR="001751A0" w:rsidRPr="00B57003">
        <w:rPr>
          <w:sz w:val="24"/>
          <w:vertAlign w:val="superscript"/>
        </w:rPr>
        <w:t>+</w:t>
      </w:r>
      <w:r w:rsidR="001751A0">
        <w:rPr>
          <w:sz w:val="24"/>
        </w:rPr>
        <w:t>, Pb</w:t>
      </w:r>
      <w:r w:rsidR="001751A0" w:rsidRPr="00B57003">
        <w:rPr>
          <w:sz w:val="24"/>
          <w:vertAlign w:val="superscript"/>
        </w:rPr>
        <w:t>2+</w:t>
      </w:r>
      <w:r w:rsidR="001751A0">
        <w:rPr>
          <w:sz w:val="24"/>
        </w:rPr>
        <w:t>, Zn</w:t>
      </w:r>
      <w:r w:rsidR="001751A0" w:rsidRPr="00B57003">
        <w:rPr>
          <w:sz w:val="24"/>
          <w:vertAlign w:val="superscript"/>
        </w:rPr>
        <w:t>2+</w:t>
      </w:r>
      <w:r w:rsidR="001751A0">
        <w:rPr>
          <w:sz w:val="24"/>
        </w:rPr>
        <w:t>, Cd</w:t>
      </w:r>
      <w:r w:rsidR="001751A0" w:rsidRPr="00B57003">
        <w:rPr>
          <w:sz w:val="24"/>
          <w:vertAlign w:val="superscript"/>
        </w:rPr>
        <w:t>2+</w:t>
      </w:r>
      <w:r w:rsidR="001751A0">
        <w:rPr>
          <w:sz w:val="24"/>
        </w:rPr>
        <w:t xml:space="preserve">) </w:t>
      </w:r>
      <w:r w:rsidRPr="00EF6ECB">
        <w:rPr>
          <w:sz w:val="24"/>
        </w:rPr>
        <w:t xml:space="preserve">on enzymatic reaction can be </w:t>
      </w:r>
      <w:r w:rsidR="005873AD">
        <w:rPr>
          <w:sz w:val="24"/>
        </w:rPr>
        <w:t xml:space="preserve">employed </w:t>
      </w:r>
      <w:r w:rsidRPr="00EF6ECB">
        <w:rPr>
          <w:sz w:val="24"/>
        </w:rPr>
        <w:t>for their analytical determination</w:t>
      </w:r>
      <w:r w:rsidR="00582C4F">
        <w:rPr>
          <w:sz w:val="24"/>
        </w:rPr>
        <w:t xml:space="preserve"> [6]</w:t>
      </w:r>
      <w:r w:rsidRPr="00EF6ECB">
        <w:rPr>
          <w:sz w:val="24"/>
        </w:rPr>
        <w:t xml:space="preserve">. The proposed analytical procedure is fast, selective and sensitive with metrological parameters comparable for other urea biosensors. As it is known to authors, this new biosensor is the first example of biosensor using the bicarbonate detection as the product of urea hydrolytic reaction </w:t>
      </w:r>
      <w:r w:rsidR="00B57003" w:rsidRPr="00EF6ECB">
        <w:rPr>
          <w:sz w:val="24"/>
        </w:rPr>
        <w:t>catalyzed</w:t>
      </w:r>
      <w:r w:rsidRPr="00EF6ECB">
        <w:rPr>
          <w:sz w:val="24"/>
        </w:rPr>
        <w:t xml:space="preserve"> by urease.</w:t>
      </w:r>
    </w:p>
    <w:p w:rsidR="00EF6ECB" w:rsidRDefault="00EF6ECB" w:rsidP="00C772EF">
      <w:pPr>
        <w:spacing w:line="312" w:lineRule="exact"/>
        <w:rPr>
          <w:b/>
        </w:rPr>
      </w:pPr>
    </w:p>
    <w:p w:rsidR="007B3EA2" w:rsidRPr="00897E15" w:rsidRDefault="007B3EA2" w:rsidP="00C772EF">
      <w:pPr>
        <w:spacing w:line="312" w:lineRule="exact"/>
        <w:rPr>
          <w:b/>
          <w:sz w:val="24"/>
        </w:rPr>
      </w:pPr>
      <w:r w:rsidRPr="00897E15">
        <w:rPr>
          <w:b/>
          <w:sz w:val="24"/>
        </w:rPr>
        <w:t xml:space="preserve">References: </w:t>
      </w:r>
    </w:p>
    <w:p w:rsidR="007B3EA2" w:rsidRPr="00897E15" w:rsidRDefault="007B3EA2" w:rsidP="00C772EF">
      <w:pPr>
        <w:spacing w:line="312" w:lineRule="exact"/>
        <w:ind w:firstLine="567"/>
        <w:rPr>
          <w:sz w:val="24"/>
        </w:rPr>
      </w:pPr>
    </w:p>
    <w:p w:rsidR="003552C1" w:rsidRDefault="003552C1" w:rsidP="003552C1">
      <w:pPr>
        <w:pStyle w:val="Odstavecseseznamem1"/>
        <w:numPr>
          <w:ilvl w:val="0"/>
          <w:numId w:val="2"/>
        </w:numPr>
        <w:spacing w:line="360" w:lineRule="auto"/>
        <w:ind w:left="426" w:hanging="426"/>
        <w:jc w:val="both"/>
        <w:rPr>
          <w:noProof/>
          <w:sz w:val="22"/>
          <w:szCs w:val="20"/>
        </w:rPr>
      </w:pPr>
      <w:r>
        <w:rPr>
          <w:noProof/>
          <w:sz w:val="22"/>
          <w:szCs w:val="20"/>
        </w:rPr>
        <w:t>Wadas TJ, Wong EH, Weisman GR, Anderson CJ (2010) Chem Rev 110:2858</w:t>
      </w:r>
    </w:p>
    <w:p w:rsidR="00EF6ECB" w:rsidRDefault="00EF6ECB" w:rsidP="00EF6ECB">
      <w:pPr>
        <w:pStyle w:val="Odstavecseseznamem1"/>
        <w:numPr>
          <w:ilvl w:val="0"/>
          <w:numId w:val="2"/>
        </w:numPr>
        <w:spacing w:line="360" w:lineRule="auto"/>
        <w:ind w:left="426" w:hanging="426"/>
        <w:jc w:val="both"/>
        <w:rPr>
          <w:noProof/>
          <w:sz w:val="22"/>
          <w:szCs w:val="20"/>
        </w:rPr>
      </w:pPr>
      <w:r>
        <w:rPr>
          <w:noProof/>
          <w:sz w:val="22"/>
          <w:szCs w:val="20"/>
        </w:rPr>
        <w:t>Försterová M, Jandurová Z, Marques F, Gano L, Lubal P, Vaněk J, Hermann P, Santos I (2008) J Inorg Biochem 102:1531</w:t>
      </w:r>
    </w:p>
    <w:p w:rsidR="007B3EA2" w:rsidRDefault="00EF6ECB" w:rsidP="003552C1">
      <w:pPr>
        <w:pStyle w:val="Odstavecseseznamem1"/>
        <w:numPr>
          <w:ilvl w:val="0"/>
          <w:numId w:val="2"/>
        </w:numPr>
        <w:spacing w:line="360" w:lineRule="auto"/>
        <w:ind w:left="426" w:hanging="426"/>
        <w:jc w:val="both"/>
        <w:rPr>
          <w:noProof/>
          <w:sz w:val="22"/>
          <w:szCs w:val="20"/>
        </w:rPr>
      </w:pPr>
      <w:r>
        <w:rPr>
          <w:noProof/>
          <w:sz w:val="22"/>
          <w:szCs w:val="20"/>
        </w:rPr>
        <w:t>Hermann P, Kotek J, Kubíček V, Lukeš I (2008) Dalton Trans 23:3027</w:t>
      </w:r>
      <w:r w:rsidR="00B57003">
        <w:rPr>
          <w:noProof/>
          <w:sz w:val="22"/>
          <w:szCs w:val="20"/>
        </w:rPr>
        <w:t>.</w:t>
      </w:r>
    </w:p>
    <w:p w:rsidR="00B57003" w:rsidRDefault="00F30537" w:rsidP="003552C1">
      <w:pPr>
        <w:pStyle w:val="Odstavecseseznamem1"/>
        <w:numPr>
          <w:ilvl w:val="0"/>
          <w:numId w:val="2"/>
        </w:numPr>
        <w:spacing w:line="360" w:lineRule="auto"/>
        <w:ind w:left="426" w:hanging="426"/>
        <w:jc w:val="both"/>
        <w:rPr>
          <w:noProof/>
          <w:sz w:val="22"/>
          <w:szCs w:val="20"/>
        </w:rPr>
      </w:pPr>
      <w:r>
        <w:rPr>
          <w:noProof/>
          <w:sz w:val="22"/>
          <w:szCs w:val="20"/>
        </w:rPr>
        <w:t>Van</w:t>
      </w:r>
      <w:r>
        <w:rPr>
          <w:noProof/>
          <w:sz w:val="22"/>
          <w:szCs w:val="20"/>
          <w:lang w:val="cs-CZ"/>
        </w:rPr>
        <w:t>ěk J., Lubal P., Hermann P., Anzenbacher P., Jr. (201</w:t>
      </w:r>
      <w:r w:rsidR="00022CB1">
        <w:rPr>
          <w:noProof/>
          <w:sz w:val="22"/>
          <w:szCs w:val="20"/>
          <w:lang w:val="cs-CZ"/>
        </w:rPr>
        <w:t>3</w:t>
      </w:r>
      <w:r>
        <w:rPr>
          <w:noProof/>
          <w:sz w:val="22"/>
          <w:szCs w:val="20"/>
          <w:lang w:val="cs-CZ"/>
        </w:rPr>
        <w:t xml:space="preserve">) J. Fluorescence </w:t>
      </w:r>
      <w:r w:rsidR="00022CB1">
        <w:rPr>
          <w:noProof/>
          <w:sz w:val="22"/>
          <w:szCs w:val="20"/>
          <w:lang w:val="cs-CZ"/>
        </w:rPr>
        <w:t>23:57</w:t>
      </w:r>
      <w:r>
        <w:rPr>
          <w:noProof/>
          <w:sz w:val="22"/>
          <w:szCs w:val="20"/>
        </w:rPr>
        <w:t>.</w:t>
      </w:r>
    </w:p>
    <w:p w:rsidR="00022CB1" w:rsidRDefault="00022CB1" w:rsidP="00022CB1">
      <w:pPr>
        <w:pStyle w:val="Odstavecseseznamem1"/>
        <w:numPr>
          <w:ilvl w:val="0"/>
          <w:numId w:val="2"/>
        </w:numPr>
        <w:spacing w:line="360" w:lineRule="auto"/>
        <w:ind w:left="426" w:hanging="426"/>
        <w:jc w:val="both"/>
        <w:rPr>
          <w:noProof/>
          <w:sz w:val="22"/>
          <w:szCs w:val="20"/>
        </w:rPr>
      </w:pPr>
      <w:r>
        <w:rPr>
          <w:noProof/>
          <w:sz w:val="22"/>
          <w:szCs w:val="20"/>
        </w:rPr>
        <w:t>Van</w:t>
      </w:r>
      <w:r>
        <w:rPr>
          <w:noProof/>
          <w:sz w:val="22"/>
          <w:szCs w:val="20"/>
          <w:lang w:val="cs-CZ"/>
        </w:rPr>
        <w:t>ěk J., Smrčka F., Lubal P., Třísková I., Trnková L. (2016) Monatsh. Chem. 147:925</w:t>
      </w:r>
      <w:r>
        <w:rPr>
          <w:noProof/>
          <w:sz w:val="22"/>
          <w:szCs w:val="20"/>
        </w:rPr>
        <w:t>.</w:t>
      </w:r>
    </w:p>
    <w:p w:rsidR="0026729E" w:rsidRDefault="0026729E" w:rsidP="0026729E">
      <w:pPr>
        <w:pStyle w:val="Odstavecseseznamem1"/>
        <w:numPr>
          <w:ilvl w:val="0"/>
          <w:numId w:val="2"/>
        </w:numPr>
        <w:spacing w:line="360" w:lineRule="auto"/>
        <w:ind w:left="426" w:hanging="426"/>
        <w:jc w:val="both"/>
        <w:rPr>
          <w:noProof/>
          <w:sz w:val="22"/>
          <w:szCs w:val="20"/>
        </w:rPr>
      </w:pPr>
      <w:r>
        <w:rPr>
          <w:noProof/>
          <w:sz w:val="22"/>
          <w:szCs w:val="20"/>
          <w:lang w:val="cs-CZ"/>
        </w:rPr>
        <w:t>Smrčka F., Lubal P., Šídlo M. (2017) Monatsh. Chem. 148:1945.</w:t>
      </w:r>
    </w:p>
    <w:p w:rsidR="00F30537" w:rsidRPr="003552C1" w:rsidRDefault="00F30537" w:rsidP="0026729E">
      <w:pPr>
        <w:pStyle w:val="Odstavecseseznamem1"/>
        <w:spacing w:line="360" w:lineRule="auto"/>
        <w:ind w:left="0"/>
        <w:jc w:val="both"/>
        <w:rPr>
          <w:noProof/>
          <w:sz w:val="22"/>
          <w:szCs w:val="20"/>
        </w:rPr>
      </w:pPr>
    </w:p>
    <w:sectPr w:rsidR="00F30537" w:rsidRPr="003552C1" w:rsidSect="00BF285A">
      <w:headerReference w:type="even" r:id="rId9"/>
      <w:headerReference w:type="default" r:id="rId10"/>
      <w:footerReference w:type="even" r:id="rId11"/>
      <w:footerReference w:type="default" r:id="rId12"/>
      <w:headerReference w:type="first" r:id="rId13"/>
      <w:footerReference w:type="first" r:id="rId14"/>
      <w:pgSz w:w="11906" w:h="16838"/>
      <w:pgMar w:top="1702" w:right="1418" w:bottom="1418" w:left="1418" w:header="720"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F8" w:rsidRDefault="000213F8">
      <w:r>
        <w:separator/>
      </w:r>
    </w:p>
  </w:endnote>
  <w:endnote w:type="continuationSeparator" w:id="0">
    <w:p w:rsidR="000213F8" w:rsidRDefault="000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DejaVu Sans">
    <w:altName w:val="Arial"/>
    <w:charset w:val="EE"/>
    <w:family w:val="swiss"/>
    <w:pitch w:val="variable"/>
    <w:sig w:usb0="00000000" w:usb1="5200FDFF" w:usb2="0A042021"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D7" w:rsidRDefault="00A84BD7" w:rsidP="007B3E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84BD7" w:rsidRDefault="00A84BD7" w:rsidP="00BF285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D7" w:rsidRDefault="00A84BD7" w:rsidP="007B3EA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50914">
      <w:rPr>
        <w:rStyle w:val="slostrnky"/>
        <w:noProof/>
      </w:rPr>
      <w:t>2</w:t>
    </w:r>
    <w:r>
      <w:rPr>
        <w:rStyle w:val="slostrnky"/>
      </w:rPr>
      <w:fldChar w:fldCharType="end"/>
    </w:r>
  </w:p>
  <w:p w:rsidR="00A84BD7" w:rsidRDefault="00A84BD7" w:rsidP="00BF285A">
    <w:pPr>
      <w:pStyle w:val="Zpat"/>
      <w:ind w:right="360"/>
    </w:pPr>
    <w:r>
      <w:rPr>
        <w:noProof/>
        <w:color w:val="C0C0C0"/>
        <w:lang w:eastAsia="en-US"/>
      </w:rPr>
      <w:pict>
        <v:line id="_x0000_s2056" style="position:absolute;left:0;text-align:left;z-index:2" from="-15.25pt,-.8pt" to="466.65pt,-.8pt" strokecolor="#969696"/>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82" w:rsidRDefault="001147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F8" w:rsidRDefault="000213F8">
      <w:r>
        <w:separator/>
      </w:r>
    </w:p>
  </w:footnote>
  <w:footnote w:type="continuationSeparator" w:id="0">
    <w:p w:rsidR="000213F8" w:rsidRDefault="0002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82" w:rsidRDefault="0011478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7EF" w:rsidRDefault="00A84BD7" w:rsidP="00BF285A">
    <w:pPr>
      <w:pStyle w:val="Zhlav"/>
      <w:jc w:val="center"/>
      <w:rPr>
        <w:rFonts w:ascii="Calibri" w:hAnsi="Calibri"/>
        <w:color w:val="808080"/>
      </w:rPr>
    </w:pPr>
    <w:r w:rsidRPr="00A84BD7">
      <w:rPr>
        <w:rFonts w:ascii="Calibri" w:hAnsi="Calibri"/>
        <w:b/>
        <w:color w:val="808080"/>
      </w:rPr>
      <w:t>Acta of the International Symposia on Metal Complexes</w:t>
    </w:r>
    <w:r w:rsidRPr="00A84BD7">
      <w:rPr>
        <w:rFonts w:ascii="Calibri" w:hAnsi="Calibri"/>
        <w:color w:val="808080"/>
      </w:rPr>
      <w:t xml:space="preserve"> –</w:t>
    </w:r>
    <w:r w:rsidRPr="007F17EF">
      <w:rPr>
        <w:rFonts w:ascii="Calibri" w:hAnsi="Calibri"/>
        <w:b/>
        <w:color w:val="808080"/>
      </w:rPr>
      <w:t xml:space="preserve"> ISMEC Acta</w:t>
    </w:r>
    <w:r w:rsidRPr="00A84BD7">
      <w:rPr>
        <w:rFonts w:ascii="Calibri" w:hAnsi="Calibri"/>
        <w:color w:val="808080"/>
      </w:rPr>
      <w:t>,</w:t>
    </w:r>
  </w:p>
  <w:p w:rsidR="00A84BD7" w:rsidRPr="007F17EF" w:rsidRDefault="00477593" w:rsidP="00BF285A">
    <w:pPr>
      <w:pStyle w:val="Zhlav"/>
      <w:jc w:val="center"/>
      <w:rPr>
        <w:rFonts w:ascii="Calibri" w:hAnsi="Calibri"/>
        <w:color w:val="808080"/>
      </w:rPr>
    </w:pPr>
    <w:r>
      <w:rPr>
        <w:rFonts w:ascii="Calibri" w:hAnsi="Calibri"/>
        <w:color w:val="808080"/>
      </w:rPr>
      <w:t xml:space="preserve">Volume </w:t>
    </w:r>
    <w:r w:rsidR="005117C4">
      <w:rPr>
        <w:rFonts w:ascii="Calibri" w:hAnsi="Calibri"/>
        <w:color w:val="808080"/>
      </w:rPr>
      <w:t>8</w:t>
    </w:r>
    <w:r w:rsidR="00A84BD7" w:rsidRPr="007F17EF">
      <w:rPr>
        <w:rFonts w:ascii="Calibri" w:hAnsi="Calibri"/>
        <w:color w:val="808080"/>
      </w:rPr>
      <w:t xml:space="preserve"> </w:t>
    </w:r>
    <w:r w:rsidR="00A84BD7" w:rsidRPr="007F17EF">
      <w:rPr>
        <w:rFonts w:ascii="Calibri" w:hAnsi="Calibri"/>
        <w:noProof/>
        <w:color w:val="808080"/>
        <w:lang w:eastAsia="en-US"/>
      </w:rPr>
      <w:pict>
        <v:line id="_x0000_s2052" style="position:absolute;left:0;text-align:left;z-index:1;mso-position-horizontal-relative:text;mso-position-vertical-relative:text" from="-14.65pt,24.4pt" to="467.25pt,24.4pt" strokecolor="#969696"/>
      </w:pict>
    </w:r>
    <w:r w:rsidR="007F17EF" w:rsidRPr="007F17EF">
      <w:rPr>
        <w:rFonts w:ascii="Calibri" w:hAnsi="Calibri"/>
        <w:color w:val="808080"/>
      </w:rPr>
      <w:t xml:space="preserve">- </w:t>
    </w:r>
    <w:r w:rsidR="00A84BD7" w:rsidRPr="007F17EF">
      <w:rPr>
        <w:rFonts w:ascii="Calibri" w:hAnsi="Calibri"/>
        <w:color w:val="808080"/>
      </w:rPr>
      <w:t>ISMEC 201</w:t>
    </w:r>
    <w:r w:rsidR="005117C4">
      <w:rPr>
        <w:rFonts w:ascii="Calibri" w:hAnsi="Calibri"/>
        <w:color w:val="808080"/>
      </w:rPr>
      <w:t>8</w:t>
    </w:r>
    <w:r w:rsidR="00A84BD7" w:rsidRPr="007F17EF">
      <w:rPr>
        <w:rFonts w:ascii="Calibri" w:hAnsi="Calibri"/>
        <w:color w:val="808080"/>
      </w:rPr>
      <w:t xml:space="preserve">, June </w:t>
    </w:r>
    <w:r w:rsidR="005117C4">
      <w:rPr>
        <w:rFonts w:ascii="Calibri" w:hAnsi="Calibri"/>
        <w:color w:val="808080"/>
      </w:rPr>
      <w:t>3</w:t>
    </w:r>
    <w:r w:rsidR="005117C4">
      <w:rPr>
        <w:rFonts w:ascii="Calibri" w:hAnsi="Calibri"/>
        <w:color w:val="808080"/>
        <w:vertAlign w:val="superscript"/>
      </w:rPr>
      <w:t>rd</w:t>
    </w:r>
    <w:r>
      <w:rPr>
        <w:rFonts w:ascii="Calibri" w:hAnsi="Calibri"/>
        <w:color w:val="808080"/>
      </w:rPr>
      <w:t xml:space="preserve"> – </w:t>
    </w:r>
    <w:r w:rsidR="005117C4">
      <w:rPr>
        <w:rFonts w:ascii="Calibri" w:hAnsi="Calibri"/>
        <w:color w:val="808080"/>
      </w:rPr>
      <w:t>7</w:t>
    </w:r>
    <w:r w:rsidR="00A84BD7" w:rsidRPr="007F17EF">
      <w:rPr>
        <w:rFonts w:ascii="Calibri" w:hAnsi="Calibri"/>
        <w:color w:val="808080"/>
        <w:vertAlign w:val="superscript"/>
      </w:rPr>
      <w:t>th</w:t>
    </w:r>
    <w:r w:rsidR="00A84BD7" w:rsidRPr="007F17EF">
      <w:rPr>
        <w:rFonts w:ascii="Calibri" w:hAnsi="Calibri"/>
        <w:color w:val="808080"/>
      </w:rPr>
      <w:t xml:space="preserve"> 201</w:t>
    </w:r>
    <w:r w:rsidR="00114782">
      <w:rPr>
        <w:rFonts w:ascii="Calibri" w:hAnsi="Calibri"/>
        <w:color w:val="808080"/>
      </w:rPr>
      <w:t>8</w:t>
    </w:r>
    <w:r>
      <w:rPr>
        <w:rFonts w:ascii="Calibri" w:hAnsi="Calibri"/>
        <w:color w:val="808080"/>
      </w:rPr>
      <w:t xml:space="preserve">, </w:t>
    </w:r>
    <w:r w:rsidR="005117C4">
      <w:rPr>
        <w:rFonts w:ascii="Calibri" w:hAnsi="Calibri"/>
        <w:color w:val="808080"/>
      </w:rPr>
      <w:t>Florence</w:t>
    </w:r>
    <w:r w:rsidR="00A84BD7" w:rsidRPr="007F17EF">
      <w:rPr>
        <w:rFonts w:ascii="Calibri" w:hAnsi="Calibri"/>
        <w:color w:val="808080"/>
      </w:rPr>
      <w:t xml:space="preserve"> (</w:t>
    </w:r>
    <w:r w:rsidR="005117C4">
      <w:rPr>
        <w:rFonts w:ascii="Calibri" w:hAnsi="Calibri"/>
        <w:color w:val="808080"/>
      </w:rPr>
      <w:t>Italy</w:t>
    </w:r>
    <w:r w:rsidR="00A84BD7" w:rsidRPr="007F17EF">
      <w:rPr>
        <w:rFonts w:ascii="Calibri" w:hAnsi="Calibri"/>
        <w:color w:val="80808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82" w:rsidRDefault="001147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116B"/>
    <w:multiLevelType w:val="hybridMultilevel"/>
    <w:tmpl w:val="2418350E"/>
    <w:lvl w:ilvl="0" w:tplc="EF2AAB42">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E492B95"/>
    <w:multiLevelType w:val="hybridMultilevel"/>
    <w:tmpl w:val="1DCC65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D1C"/>
    <w:rsid w:val="00005B0D"/>
    <w:rsid w:val="00015105"/>
    <w:rsid w:val="000213F8"/>
    <w:rsid w:val="00022CB1"/>
    <w:rsid w:val="000325A9"/>
    <w:rsid w:val="00040EF3"/>
    <w:rsid w:val="0004331F"/>
    <w:rsid w:val="00057BED"/>
    <w:rsid w:val="00057D1C"/>
    <w:rsid w:val="000949B4"/>
    <w:rsid w:val="000B6A69"/>
    <w:rsid w:val="000C1E84"/>
    <w:rsid w:val="000C40AB"/>
    <w:rsid w:val="000C5CF8"/>
    <w:rsid w:val="00106946"/>
    <w:rsid w:val="00114782"/>
    <w:rsid w:val="00150914"/>
    <w:rsid w:val="00156702"/>
    <w:rsid w:val="001615C0"/>
    <w:rsid w:val="001751A0"/>
    <w:rsid w:val="00180155"/>
    <w:rsid w:val="00195E8C"/>
    <w:rsid w:val="001F1649"/>
    <w:rsid w:val="0026729E"/>
    <w:rsid w:val="00283B94"/>
    <w:rsid w:val="00290B6F"/>
    <w:rsid w:val="0031546D"/>
    <w:rsid w:val="00333659"/>
    <w:rsid w:val="003552C1"/>
    <w:rsid w:val="00363833"/>
    <w:rsid w:val="003962D6"/>
    <w:rsid w:val="003E57DF"/>
    <w:rsid w:val="00405FD0"/>
    <w:rsid w:val="00451DF4"/>
    <w:rsid w:val="00463633"/>
    <w:rsid w:val="004637F6"/>
    <w:rsid w:val="00477593"/>
    <w:rsid w:val="00487FAF"/>
    <w:rsid w:val="004B4265"/>
    <w:rsid w:val="004D2247"/>
    <w:rsid w:val="004D66E4"/>
    <w:rsid w:val="004E0120"/>
    <w:rsid w:val="005117C4"/>
    <w:rsid w:val="00524B40"/>
    <w:rsid w:val="005413A8"/>
    <w:rsid w:val="00582C4F"/>
    <w:rsid w:val="005873AD"/>
    <w:rsid w:val="00661839"/>
    <w:rsid w:val="006735EF"/>
    <w:rsid w:val="00673F2F"/>
    <w:rsid w:val="006F04C2"/>
    <w:rsid w:val="007114E7"/>
    <w:rsid w:val="00713212"/>
    <w:rsid w:val="00764972"/>
    <w:rsid w:val="007B3EA2"/>
    <w:rsid w:val="007F17EF"/>
    <w:rsid w:val="00816CC6"/>
    <w:rsid w:val="00822F71"/>
    <w:rsid w:val="00897E15"/>
    <w:rsid w:val="008A629C"/>
    <w:rsid w:val="008B552F"/>
    <w:rsid w:val="008B71A6"/>
    <w:rsid w:val="008D217D"/>
    <w:rsid w:val="009260AC"/>
    <w:rsid w:val="0095777B"/>
    <w:rsid w:val="00973FC0"/>
    <w:rsid w:val="009D2448"/>
    <w:rsid w:val="00A84BD7"/>
    <w:rsid w:val="00AA7292"/>
    <w:rsid w:val="00AD43E9"/>
    <w:rsid w:val="00B32EF9"/>
    <w:rsid w:val="00B57003"/>
    <w:rsid w:val="00B66ECB"/>
    <w:rsid w:val="00B6736D"/>
    <w:rsid w:val="00BD05EE"/>
    <w:rsid w:val="00BE5B22"/>
    <w:rsid w:val="00BF285A"/>
    <w:rsid w:val="00C570E2"/>
    <w:rsid w:val="00C772EF"/>
    <w:rsid w:val="00C94EDB"/>
    <w:rsid w:val="00CC18FE"/>
    <w:rsid w:val="00CD0B03"/>
    <w:rsid w:val="00D1456C"/>
    <w:rsid w:val="00D217CF"/>
    <w:rsid w:val="00D66736"/>
    <w:rsid w:val="00DB3672"/>
    <w:rsid w:val="00DD543C"/>
    <w:rsid w:val="00E0054D"/>
    <w:rsid w:val="00E3423F"/>
    <w:rsid w:val="00E42969"/>
    <w:rsid w:val="00E657DE"/>
    <w:rsid w:val="00E83D0A"/>
    <w:rsid w:val="00EB207D"/>
    <w:rsid w:val="00EC59B6"/>
    <w:rsid w:val="00EF28B5"/>
    <w:rsid w:val="00EF4E97"/>
    <w:rsid w:val="00EF6ECB"/>
    <w:rsid w:val="00F00D7C"/>
    <w:rsid w:val="00F30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spacing w:line="292" w:lineRule="exact"/>
      <w:jc w:val="both"/>
    </w:pPr>
    <w:rPr>
      <w:kern w:val="1"/>
      <w:sz w:val="22"/>
      <w:szCs w:val="24"/>
      <w:lang w:val="en-US" w:eastAsia="ar-SA"/>
    </w:rPr>
  </w:style>
  <w:style w:type="character" w:default="1" w:styleId="Standardnpsmoodstavce">
    <w:name w:val="Default Paragraph Font"/>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Standardnpsmoodstavce0">
    <w:name w:val="Default Paragraph Font"/>
  </w:style>
  <w:style w:type="character" w:customStyle="1" w:styleId="ListLabel1">
    <w:name w:val="ListLabel 1"/>
    <w:rPr>
      <w:rFonts w:eastAsia="Times New Roman" w:cs="Times New Roman"/>
    </w:rPr>
  </w:style>
  <w:style w:type="paragraph" w:customStyle="1" w:styleId="Intestazione1">
    <w:name w:val="Intestazione1"/>
    <w:basedOn w:val="Normln"/>
    <w:next w:val="Zkladntext"/>
    <w:pPr>
      <w:keepNext/>
      <w:spacing w:before="240" w:after="120"/>
    </w:pPr>
    <w:rPr>
      <w:rFonts w:ascii="Arial" w:eastAsia="DejaVu Sans" w:hAnsi="Arial" w:cs="DejaVu San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Didascalia1">
    <w:name w:val="Didascalia1"/>
    <w:basedOn w:val="Normln"/>
    <w:pPr>
      <w:suppressLineNumbers/>
      <w:spacing w:before="120" w:after="120"/>
    </w:pPr>
    <w:rPr>
      <w:i/>
      <w:iCs/>
      <w:sz w:val="24"/>
    </w:rPr>
  </w:style>
  <w:style w:type="paragraph" w:customStyle="1" w:styleId="Indice">
    <w:name w:val="Indice"/>
    <w:basedOn w:val="Normln"/>
    <w:pPr>
      <w:suppressLineNumbers/>
    </w:pPr>
  </w:style>
  <w:style w:type="paragraph" w:customStyle="1" w:styleId="Stile1">
    <w:name w:val="Stile1"/>
    <w:basedOn w:val="Nzev"/>
  </w:style>
  <w:style w:type="paragraph" w:styleId="Nzev">
    <w:name w:val="Title"/>
    <w:basedOn w:val="Normln"/>
    <w:next w:val="Podtitul"/>
    <w:qFormat/>
    <w:pPr>
      <w:spacing w:before="240" w:after="60"/>
      <w:jc w:val="center"/>
    </w:pPr>
    <w:rPr>
      <w:rFonts w:ascii="Arial" w:hAnsi="Arial" w:cs="Arial"/>
      <w:b/>
      <w:bCs/>
      <w:sz w:val="32"/>
      <w:szCs w:val="32"/>
    </w:rPr>
  </w:style>
  <w:style w:type="paragraph" w:styleId="Podtitul">
    <w:name w:val="Subtitle"/>
    <w:basedOn w:val="Intestazione1"/>
    <w:next w:val="Zkladntext"/>
    <w:qFormat/>
    <w:pPr>
      <w:jc w:val="center"/>
    </w:pPr>
    <w:rPr>
      <w:i/>
      <w:iCs/>
    </w:rPr>
  </w:style>
  <w:style w:type="paragraph" w:styleId="Zkladntextodsazen">
    <w:name w:val="Body Text Indent"/>
    <w:basedOn w:val="Normln"/>
    <w:pPr>
      <w:spacing w:line="312" w:lineRule="exact"/>
      <w:ind w:left="283" w:firstLine="720"/>
    </w:pPr>
    <w:rPr>
      <w:sz w:val="24"/>
    </w:rPr>
  </w:style>
  <w:style w:type="paragraph" w:styleId="Zkladntextodsazen2">
    <w:name w:val="Body Text Indent 2"/>
    <w:basedOn w:val="Normln"/>
  </w:style>
  <w:style w:type="paragraph" w:styleId="Zpat">
    <w:name w:val="footer"/>
    <w:basedOn w:val="Normln"/>
    <w:rsid w:val="00BF285A"/>
    <w:pPr>
      <w:tabs>
        <w:tab w:val="center" w:pos="4320"/>
        <w:tab w:val="right" w:pos="8640"/>
      </w:tabs>
    </w:pPr>
  </w:style>
  <w:style w:type="character" w:styleId="slostrnky">
    <w:name w:val="page number"/>
    <w:basedOn w:val="Standardnpsmoodstavce"/>
    <w:rsid w:val="00BF285A"/>
  </w:style>
  <w:style w:type="paragraph" w:styleId="Zhlav">
    <w:name w:val="header"/>
    <w:basedOn w:val="Normln"/>
    <w:rsid w:val="00BF285A"/>
    <w:pPr>
      <w:tabs>
        <w:tab w:val="center" w:pos="4320"/>
        <w:tab w:val="right" w:pos="8640"/>
      </w:tabs>
    </w:pPr>
  </w:style>
  <w:style w:type="character" w:styleId="Hypertextovodkaz">
    <w:name w:val="Hyperlink"/>
    <w:rsid w:val="00AA7292"/>
    <w:rPr>
      <w:color w:val="0000FF"/>
      <w:u w:val="single"/>
    </w:rPr>
  </w:style>
  <w:style w:type="character" w:styleId="Sledovanodkaz">
    <w:name w:val="FollowedHyperlink"/>
    <w:rsid w:val="004B4265"/>
    <w:rPr>
      <w:color w:val="800080"/>
      <w:u w:val="single"/>
    </w:rPr>
  </w:style>
  <w:style w:type="character" w:styleId="Siln">
    <w:name w:val="Strong"/>
    <w:uiPriority w:val="22"/>
    <w:qFormat/>
    <w:rsid w:val="00463633"/>
    <w:rPr>
      <w:b/>
      <w:bCs/>
    </w:rPr>
  </w:style>
  <w:style w:type="paragraph" w:styleId="Titulek">
    <w:name w:val="caption"/>
    <w:basedOn w:val="Normln"/>
    <w:next w:val="Normln"/>
    <w:unhideWhenUsed/>
    <w:qFormat/>
    <w:rsid w:val="00EF6ECB"/>
    <w:rPr>
      <w:b/>
      <w:bCs/>
      <w:sz w:val="20"/>
      <w:szCs w:val="20"/>
    </w:rPr>
  </w:style>
  <w:style w:type="paragraph" w:customStyle="1" w:styleId="Odstavecseseznamem1">
    <w:name w:val="Odstavec se seznamem1"/>
    <w:basedOn w:val="Normln"/>
    <w:rsid w:val="00EF6ECB"/>
    <w:pPr>
      <w:suppressAutoHyphens w:val="0"/>
      <w:spacing w:line="240" w:lineRule="auto"/>
      <w:ind w:left="720"/>
      <w:contextualSpacing/>
      <w:jc w:val="left"/>
    </w:pPr>
    <w:rPr>
      <w:kern w:val="0"/>
      <w:sz w:val="24"/>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6212-A138-4798-8FE7-8FB3A44F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2308</Characters>
  <Application>Microsoft Office Word</Application>
  <DocSecurity>0</DocSecurity>
  <Lines>19</Lines>
  <Paragraphs>5</Paragraphs>
  <ScaleCrop>false</ScaleCrop>
  <HeadingPairs>
    <vt:vector size="8" baseType="variant">
      <vt:variant>
        <vt:lpstr>Název</vt:lpstr>
      </vt:variant>
      <vt:variant>
        <vt:i4>1</vt:i4>
      </vt:variant>
      <vt:variant>
        <vt:lpstr>Titolo</vt:lpstr>
      </vt:variant>
      <vt:variant>
        <vt:i4>1</vt:i4>
      </vt:variant>
      <vt:variant>
        <vt:lpstr>Titre</vt:lpstr>
      </vt:variant>
      <vt:variant>
        <vt:i4>1</vt:i4>
      </vt:variant>
      <vt:variant>
        <vt:lpstr>Tytuł</vt:lpstr>
      </vt:variant>
      <vt:variant>
        <vt:i4>1</vt:i4>
      </vt:variant>
    </vt:vector>
  </HeadingPairs>
  <TitlesOfParts>
    <vt:vector size="4" baseType="lpstr">
      <vt:lpstr>Acid – base properties of phytate ion and its interactions with alkali metals</vt:lpstr>
      <vt:lpstr>Acid – base properties of phytate ion and its interactions with alkali metals</vt:lpstr>
      <vt:lpstr>Acid – base properties of phytate ion and its interactions with alkali metals</vt:lpstr>
      <vt:lpstr>Acid – base properties of phytate ion and its interactions with alkali metals</vt:lpstr>
    </vt:vector>
  </TitlesOfParts>
  <Company>IST</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Acid – base properties of phytate ion and its interactions with alkali metals</dc:title>
  <dc:creator>Dip. Chim. Analitica</dc:creator>
  <cp:lastModifiedBy>pinkas</cp:lastModifiedBy>
  <cp:revision>2</cp:revision>
  <cp:lastPrinted>2004-07-05T09:44:00Z</cp:lastPrinted>
  <dcterms:created xsi:type="dcterms:W3CDTF">2019-01-03T20:22:00Z</dcterms:created>
  <dcterms:modified xsi:type="dcterms:W3CDTF">2019-01-03T20:22:00Z</dcterms:modified>
</cp:coreProperties>
</file>