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6DFE8" w14:textId="6A5CDACD" w:rsidR="00626686" w:rsidRPr="00626686" w:rsidRDefault="00626686" w:rsidP="008E3F70">
      <w:pPr>
        <w:jc w:val="center"/>
        <w:rPr>
          <w:b/>
          <w:bCs/>
          <w:color w:val="000000"/>
          <w:shd w:val="clear" w:color="auto" w:fill="FFFFFF"/>
        </w:rPr>
      </w:pPr>
      <w:bookmarkStart w:id="0" w:name="_Hlk50583216"/>
      <w:bookmarkStart w:id="1" w:name="_GoBack"/>
      <w:r w:rsidRPr="00626686">
        <w:rPr>
          <w:b/>
          <w:bCs/>
          <w:color w:val="000000"/>
          <w:shd w:val="clear" w:color="auto" w:fill="FFFFFF"/>
        </w:rPr>
        <w:t xml:space="preserve">Linking Spin-Orbit NMR Shielding </w:t>
      </w:r>
      <w:r w:rsidR="00506487">
        <w:rPr>
          <w:b/>
          <w:bCs/>
          <w:color w:val="000000"/>
          <w:shd w:val="clear" w:color="auto" w:fill="FFFFFF"/>
        </w:rPr>
        <w:t>at the Ligh Atom with</w:t>
      </w:r>
      <w:r w:rsidR="008E3F70">
        <w:rPr>
          <w:b/>
          <w:bCs/>
          <w:color w:val="000000"/>
          <w:shd w:val="clear" w:color="auto" w:fill="FFFFFF"/>
        </w:rPr>
        <w:t xml:space="preserve"> </w:t>
      </w:r>
      <w:r w:rsidRPr="00626686">
        <w:rPr>
          <w:b/>
          <w:bCs/>
          <w:color w:val="000000"/>
          <w:shd w:val="clear" w:color="auto" w:fill="FFFFFF"/>
        </w:rPr>
        <w:t>Magnetically Induced</w:t>
      </w:r>
      <w:r w:rsidR="008E3F70">
        <w:rPr>
          <w:b/>
          <w:bCs/>
          <w:color w:val="000000"/>
          <w:shd w:val="clear" w:color="auto" w:fill="FFFFFF"/>
        </w:rPr>
        <w:t xml:space="preserve"> </w:t>
      </w:r>
      <w:r w:rsidRPr="00626686">
        <w:rPr>
          <w:b/>
          <w:bCs/>
          <w:color w:val="000000"/>
          <w:shd w:val="clear" w:color="auto" w:fill="FFFFFF"/>
        </w:rPr>
        <w:t>Currents on Heavy</w:t>
      </w:r>
      <w:r w:rsidR="00506487">
        <w:rPr>
          <w:b/>
          <w:bCs/>
          <w:color w:val="000000"/>
          <w:shd w:val="clear" w:color="auto" w:fill="FFFFFF"/>
        </w:rPr>
        <w:t>-</w:t>
      </w:r>
      <w:r w:rsidRPr="00626686">
        <w:rPr>
          <w:b/>
          <w:bCs/>
          <w:color w:val="000000"/>
          <w:shd w:val="clear" w:color="auto" w:fill="FFFFFF"/>
        </w:rPr>
        <w:t>Atom</w:t>
      </w:r>
      <w:r w:rsidR="00506487">
        <w:rPr>
          <w:b/>
          <w:bCs/>
          <w:color w:val="000000"/>
          <w:shd w:val="clear" w:color="auto" w:fill="FFFFFF"/>
        </w:rPr>
        <w:t>–</w:t>
      </w:r>
      <w:r w:rsidRPr="00626686">
        <w:rPr>
          <w:b/>
          <w:bCs/>
          <w:color w:val="000000"/>
          <w:shd w:val="clear" w:color="auto" w:fill="FFFFFF"/>
        </w:rPr>
        <w:t>Light</w:t>
      </w:r>
      <w:r w:rsidR="00506487">
        <w:rPr>
          <w:b/>
          <w:bCs/>
          <w:color w:val="000000"/>
          <w:shd w:val="clear" w:color="auto" w:fill="FFFFFF"/>
        </w:rPr>
        <w:t>-</w:t>
      </w:r>
      <w:r w:rsidRPr="00626686">
        <w:rPr>
          <w:b/>
          <w:bCs/>
          <w:color w:val="000000"/>
          <w:shd w:val="clear" w:color="auto" w:fill="FFFFFF"/>
        </w:rPr>
        <w:t>Atom</w:t>
      </w:r>
      <w:r w:rsidR="008E3F70">
        <w:rPr>
          <w:b/>
          <w:bCs/>
          <w:color w:val="000000"/>
          <w:shd w:val="clear" w:color="auto" w:fill="FFFFFF"/>
        </w:rPr>
        <w:t xml:space="preserve"> </w:t>
      </w:r>
      <w:r w:rsidRPr="00626686">
        <w:rPr>
          <w:b/>
          <w:bCs/>
          <w:color w:val="000000"/>
          <w:shd w:val="clear" w:color="auto" w:fill="FFFFFF"/>
        </w:rPr>
        <w:t>Bond</w:t>
      </w:r>
      <w:bookmarkEnd w:id="0"/>
    </w:p>
    <w:bookmarkEnd w:id="1"/>
    <w:p w14:paraId="6FD8853F" w14:textId="77777777" w:rsidR="007956D8" w:rsidRDefault="007956D8" w:rsidP="000619BA">
      <w:pPr>
        <w:jc w:val="center"/>
        <w:rPr>
          <w:sz w:val="20"/>
          <w:lang w:val="en-US"/>
        </w:rPr>
      </w:pPr>
    </w:p>
    <w:p w14:paraId="607CA40B" w14:textId="7B64794C" w:rsidR="007956D8" w:rsidRDefault="00C33D48" w:rsidP="000619BA">
      <w:pPr>
        <w:jc w:val="center"/>
        <w:rPr>
          <w:sz w:val="20"/>
          <w:lang w:val="de-DE"/>
        </w:rPr>
      </w:pPr>
      <w:r>
        <w:rPr>
          <w:sz w:val="20"/>
          <w:u w:val="single"/>
          <w:lang w:val="de-DE"/>
        </w:rPr>
        <w:t>Ben Joseph R. Cuyacot,</w:t>
      </w:r>
      <w:r w:rsidRPr="00C33D48">
        <w:rPr>
          <w:sz w:val="20"/>
          <w:lang w:val="de-DE"/>
        </w:rPr>
        <w:t xml:space="preserve"> Jan</w:t>
      </w:r>
      <w:r w:rsidR="00866C14">
        <w:rPr>
          <w:sz w:val="20"/>
          <w:lang w:val="de-DE"/>
        </w:rPr>
        <w:t xml:space="preserve"> </w:t>
      </w:r>
      <w:r w:rsidR="00866C14" w:rsidRPr="00C33D48">
        <w:rPr>
          <w:sz w:val="20"/>
          <w:lang w:val="de-DE"/>
        </w:rPr>
        <w:t>Novotný</w:t>
      </w:r>
      <w:r w:rsidR="00E37388">
        <w:rPr>
          <w:sz w:val="20"/>
          <w:lang w:val="de-DE"/>
        </w:rPr>
        <w:t>, a</w:t>
      </w:r>
      <w:r w:rsidRPr="00C33D48">
        <w:rPr>
          <w:sz w:val="20"/>
          <w:lang w:val="de-DE"/>
        </w:rPr>
        <w:t>nd Radek Marek</w:t>
      </w:r>
    </w:p>
    <w:p w14:paraId="28AE120A" w14:textId="77777777" w:rsidR="007956D8" w:rsidRDefault="007956D8" w:rsidP="000619BA">
      <w:pPr>
        <w:jc w:val="center"/>
        <w:rPr>
          <w:sz w:val="20"/>
          <w:lang w:val="de-DE"/>
        </w:rPr>
      </w:pPr>
    </w:p>
    <w:p w14:paraId="38F6CD85" w14:textId="1AD0DDE0" w:rsidR="007956D8" w:rsidRDefault="00506487" w:rsidP="000619BA">
      <w:pPr>
        <w:jc w:val="center"/>
        <w:rPr>
          <w:i/>
          <w:iCs/>
          <w:sz w:val="20"/>
          <w:lang w:val="en-US"/>
        </w:rPr>
      </w:pPr>
      <w:r>
        <w:rPr>
          <w:i/>
          <w:iCs/>
          <w:sz w:val="20"/>
          <w:lang w:val="en-US"/>
        </w:rPr>
        <w:t>Department</w:t>
      </w:r>
      <w:r w:rsidR="007956D8">
        <w:rPr>
          <w:i/>
          <w:iCs/>
          <w:sz w:val="20"/>
          <w:lang w:val="en-US"/>
        </w:rPr>
        <w:t xml:space="preserve"> of Chemistry, </w:t>
      </w:r>
      <w:r>
        <w:rPr>
          <w:i/>
          <w:iCs/>
          <w:sz w:val="20"/>
          <w:lang w:val="en-US"/>
        </w:rPr>
        <w:t xml:space="preserve">Faculty of Science and CEITEC, </w:t>
      </w:r>
      <w:r w:rsidR="00C33D48">
        <w:rPr>
          <w:i/>
          <w:iCs/>
          <w:sz w:val="20"/>
          <w:lang w:val="en-US"/>
        </w:rPr>
        <w:t>Masaryk University</w:t>
      </w:r>
      <w:r>
        <w:rPr>
          <w:i/>
          <w:iCs/>
          <w:sz w:val="20"/>
          <w:lang w:val="en-US"/>
        </w:rPr>
        <w:t>,</w:t>
      </w:r>
    </w:p>
    <w:p w14:paraId="6F373085" w14:textId="59DCAD8B" w:rsidR="007956D8" w:rsidRDefault="00C33D48" w:rsidP="000619BA">
      <w:pPr>
        <w:jc w:val="center"/>
        <w:rPr>
          <w:sz w:val="20"/>
          <w:lang w:val="en-US"/>
        </w:rPr>
      </w:pPr>
      <w:r>
        <w:rPr>
          <w:i/>
          <w:iCs/>
          <w:sz w:val="20"/>
          <w:lang w:val="en-US"/>
        </w:rPr>
        <w:t>Kamenice 5</w:t>
      </w:r>
      <w:r w:rsidR="008D3295">
        <w:rPr>
          <w:i/>
          <w:iCs/>
          <w:sz w:val="20"/>
          <w:lang w:val="en-US"/>
        </w:rPr>
        <w:t xml:space="preserve">, </w:t>
      </w:r>
      <w:r>
        <w:rPr>
          <w:i/>
          <w:iCs/>
          <w:sz w:val="20"/>
          <w:lang w:val="en-US"/>
        </w:rPr>
        <w:t>CZ-62500, Brno, Czech</w:t>
      </w:r>
      <w:r w:rsidR="00506487">
        <w:rPr>
          <w:i/>
          <w:iCs/>
          <w:sz w:val="20"/>
          <w:lang w:val="en-US"/>
        </w:rPr>
        <w:t>ia</w:t>
      </w:r>
    </w:p>
    <w:p w14:paraId="334D49EA" w14:textId="77777777" w:rsidR="007956D8" w:rsidRDefault="00B314A0" w:rsidP="000619BA">
      <w:pPr>
        <w:jc w:val="center"/>
        <w:rPr>
          <w:i/>
          <w:iCs/>
          <w:sz w:val="20"/>
          <w:lang w:val="en-US"/>
        </w:rPr>
      </w:pPr>
      <w:r>
        <w:rPr>
          <w:i/>
          <w:iCs/>
          <w:sz w:val="20"/>
          <w:lang w:val="en-US"/>
        </w:rPr>
        <w:t>b</w:t>
      </w:r>
      <w:r w:rsidR="00C33D48">
        <w:rPr>
          <w:i/>
          <w:iCs/>
          <w:sz w:val="20"/>
          <w:lang w:val="en-US"/>
        </w:rPr>
        <w:t>enjoseph.cuyacot</w:t>
      </w:r>
      <w:r w:rsidR="00D81043">
        <w:rPr>
          <w:i/>
          <w:iCs/>
          <w:sz w:val="20"/>
          <w:lang w:val="en-US"/>
        </w:rPr>
        <w:t>@mail.</w:t>
      </w:r>
      <w:r w:rsidR="00C33D48">
        <w:rPr>
          <w:i/>
          <w:iCs/>
          <w:sz w:val="20"/>
          <w:lang w:val="en-US"/>
        </w:rPr>
        <w:t>muni.cz</w:t>
      </w:r>
    </w:p>
    <w:p w14:paraId="3719698E" w14:textId="77777777" w:rsidR="007956D8" w:rsidRDefault="007956D8" w:rsidP="000619BA">
      <w:pPr>
        <w:jc w:val="center"/>
        <w:rPr>
          <w:sz w:val="20"/>
          <w:lang w:val="en-US"/>
        </w:rPr>
      </w:pPr>
    </w:p>
    <w:p w14:paraId="64F3345E" w14:textId="77777777" w:rsidR="007956D8" w:rsidRDefault="007956D8" w:rsidP="000619BA">
      <w:pPr>
        <w:jc w:val="both"/>
        <w:rPr>
          <w:sz w:val="20"/>
          <w:lang w:val="en-US"/>
        </w:rPr>
      </w:pPr>
    </w:p>
    <w:p w14:paraId="612CD46F" w14:textId="1FE0C042" w:rsidR="00E2102E" w:rsidRDefault="007956D8" w:rsidP="000619BA">
      <w:pPr>
        <w:tabs>
          <w:tab w:val="left" w:pos="540"/>
        </w:tabs>
        <w:jc w:val="both"/>
        <w:rPr>
          <w:sz w:val="20"/>
          <w:lang w:val="en-US"/>
        </w:rPr>
      </w:pPr>
      <w:r>
        <w:rPr>
          <w:sz w:val="20"/>
          <w:lang w:val="en-US"/>
        </w:rPr>
        <w:tab/>
      </w:r>
      <w:r w:rsidR="00652BBD" w:rsidRPr="00652BBD">
        <w:rPr>
          <w:sz w:val="20"/>
          <w:lang w:val="en-US"/>
        </w:rPr>
        <w:t>The modulations of NMR</w:t>
      </w:r>
      <w:r w:rsidR="00E2102E">
        <w:rPr>
          <w:sz w:val="20"/>
          <w:lang w:val="en-US"/>
        </w:rPr>
        <w:t xml:space="preserve"> </w:t>
      </w:r>
      <w:r w:rsidR="00652BBD" w:rsidRPr="00652BBD">
        <w:rPr>
          <w:sz w:val="20"/>
          <w:lang w:val="en-US"/>
        </w:rPr>
        <w:t xml:space="preserve">shifts of </w:t>
      </w:r>
      <w:r w:rsidR="00506487">
        <w:rPr>
          <w:sz w:val="20"/>
          <w:lang w:val="en-US"/>
        </w:rPr>
        <w:t>L</w:t>
      </w:r>
      <w:r w:rsidR="00652BBD" w:rsidRPr="00652BBD">
        <w:rPr>
          <w:sz w:val="20"/>
          <w:lang w:val="en-US"/>
        </w:rPr>
        <w:t xml:space="preserve">ight </w:t>
      </w:r>
      <w:r w:rsidR="00506487">
        <w:rPr>
          <w:sz w:val="20"/>
          <w:lang w:val="en-US"/>
        </w:rPr>
        <w:t>A</w:t>
      </w:r>
      <w:r w:rsidR="00FA0417">
        <w:rPr>
          <w:sz w:val="20"/>
          <w:lang w:val="en-US"/>
        </w:rPr>
        <w:t>toms</w:t>
      </w:r>
      <w:r w:rsidR="00506487">
        <w:rPr>
          <w:sz w:val="20"/>
          <w:lang w:val="en-US"/>
        </w:rPr>
        <w:t xml:space="preserve"> (LA)</w:t>
      </w:r>
      <w:r w:rsidR="00FA0417">
        <w:rPr>
          <w:sz w:val="20"/>
          <w:lang w:val="en-US"/>
        </w:rPr>
        <w:t xml:space="preserve"> by the</w:t>
      </w:r>
      <w:r w:rsidR="00652BBD" w:rsidRPr="00652BBD">
        <w:rPr>
          <w:sz w:val="20"/>
          <w:lang w:val="en-US"/>
        </w:rPr>
        <w:t xml:space="preserve"> </w:t>
      </w:r>
      <w:r w:rsidR="00FA0417">
        <w:rPr>
          <w:sz w:val="20"/>
          <w:lang w:val="en-US"/>
        </w:rPr>
        <w:t>relativistic spin</w:t>
      </w:r>
      <w:r w:rsidR="00652BBD" w:rsidRPr="00652BBD">
        <w:rPr>
          <w:sz w:val="20"/>
          <w:lang w:val="en-US"/>
        </w:rPr>
        <w:t xml:space="preserve">-orbit </w:t>
      </w:r>
      <w:r w:rsidR="00B8400A">
        <w:rPr>
          <w:sz w:val="20"/>
          <w:lang w:val="en-US"/>
        </w:rPr>
        <w:t xml:space="preserve">(SO) </w:t>
      </w:r>
      <w:r w:rsidR="00652BBD" w:rsidRPr="00652BBD">
        <w:rPr>
          <w:sz w:val="20"/>
          <w:lang w:val="en-US"/>
        </w:rPr>
        <w:t xml:space="preserve">coupling </w:t>
      </w:r>
      <w:r w:rsidR="00B8400A">
        <w:rPr>
          <w:sz w:val="20"/>
          <w:lang w:val="en-US"/>
        </w:rPr>
        <w:t xml:space="preserve">which </w:t>
      </w:r>
      <w:r w:rsidR="00506487">
        <w:rPr>
          <w:sz w:val="20"/>
          <w:lang w:val="en-US"/>
        </w:rPr>
        <w:t>origina</w:t>
      </w:r>
      <w:r w:rsidR="00B8400A">
        <w:rPr>
          <w:sz w:val="20"/>
          <w:lang w:val="en-US"/>
        </w:rPr>
        <w:t>tes</w:t>
      </w:r>
      <w:r w:rsidR="00506487">
        <w:rPr>
          <w:sz w:val="20"/>
          <w:lang w:val="en-US"/>
        </w:rPr>
        <w:t xml:space="preserve"> from the neighboring</w:t>
      </w:r>
      <w:r w:rsidR="00FA0417">
        <w:rPr>
          <w:sz w:val="20"/>
          <w:lang w:val="en-US"/>
        </w:rPr>
        <w:t xml:space="preserve"> </w:t>
      </w:r>
      <w:r w:rsidR="000619BA">
        <w:rPr>
          <w:sz w:val="20"/>
          <w:lang w:val="en-US"/>
        </w:rPr>
        <w:t>H</w:t>
      </w:r>
      <w:r w:rsidR="00652BBD" w:rsidRPr="00652BBD">
        <w:rPr>
          <w:sz w:val="20"/>
          <w:lang w:val="en-US"/>
        </w:rPr>
        <w:t xml:space="preserve">eavy </w:t>
      </w:r>
      <w:r w:rsidR="00506487">
        <w:rPr>
          <w:sz w:val="20"/>
          <w:lang w:val="en-US"/>
        </w:rPr>
        <w:t>A</w:t>
      </w:r>
      <w:r w:rsidR="00652BBD" w:rsidRPr="00652BBD">
        <w:rPr>
          <w:sz w:val="20"/>
          <w:lang w:val="en-US"/>
        </w:rPr>
        <w:t>tom</w:t>
      </w:r>
      <w:r w:rsidR="00B8400A">
        <w:rPr>
          <w:sz w:val="20"/>
          <w:lang w:val="en-US"/>
        </w:rPr>
        <w:t xml:space="preserve"> (HA)</w:t>
      </w:r>
      <w:r w:rsidR="00652BBD" w:rsidRPr="00652BBD">
        <w:rPr>
          <w:sz w:val="20"/>
          <w:lang w:val="en-US"/>
        </w:rPr>
        <w:t xml:space="preserve"> have been explored in numerous</w:t>
      </w:r>
      <w:r w:rsidR="000619BA">
        <w:rPr>
          <w:sz w:val="20"/>
          <w:lang w:val="en-US"/>
        </w:rPr>
        <w:t xml:space="preserve"> theoretical</w:t>
      </w:r>
      <w:r w:rsidR="00652BBD" w:rsidRPr="00652BBD">
        <w:rPr>
          <w:sz w:val="20"/>
          <w:lang w:val="en-US"/>
        </w:rPr>
        <w:t xml:space="preserve"> </w:t>
      </w:r>
      <w:r w:rsidR="00E37388" w:rsidRPr="00652BBD">
        <w:rPr>
          <w:sz w:val="20"/>
          <w:lang w:val="en-US"/>
        </w:rPr>
        <w:t>studi</w:t>
      </w:r>
      <w:r w:rsidR="00E37388">
        <w:rPr>
          <w:sz w:val="20"/>
          <w:lang w:val="en-US"/>
        </w:rPr>
        <w:t>es.</w:t>
      </w:r>
      <w:r w:rsidR="00E37388">
        <w:rPr>
          <w:sz w:val="20"/>
          <w:vertAlign w:val="superscript"/>
          <w:lang w:val="en-US"/>
        </w:rPr>
        <w:t>1-</w:t>
      </w:r>
      <w:r w:rsidR="00E37388" w:rsidRPr="00E37388">
        <w:rPr>
          <w:sz w:val="20"/>
          <w:vertAlign w:val="superscript"/>
          <w:lang w:val="en-US"/>
        </w:rPr>
        <w:t>3</w:t>
      </w:r>
      <w:r w:rsidR="00E37388">
        <w:rPr>
          <w:sz w:val="20"/>
          <w:vertAlign w:val="superscript"/>
          <w:lang w:val="en-US"/>
        </w:rPr>
        <w:t xml:space="preserve"> </w:t>
      </w:r>
      <w:r w:rsidR="00B8400A">
        <w:rPr>
          <w:sz w:val="20"/>
          <w:lang w:val="en-US"/>
        </w:rPr>
        <w:t>This</w:t>
      </w:r>
      <w:r w:rsidR="00603480">
        <w:rPr>
          <w:sz w:val="20"/>
          <w:lang w:val="en-US"/>
        </w:rPr>
        <w:t xml:space="preserve"> </w:t>
      </w:r>
      <w:r w:rsidR="00B8400A">
        <w:rPr>
          <w:sz w:val="20"/>
          <w:lang w:val="en-US"/>
        </w:rPr>
        <w:t xml:space="preserve">effect </w:t>
      </w:r>
      <w:r w:rsidR="00E2102E">
        <w:rPr>
          <w:sz w:val="20"/>
          <w:lang w:val="en-US"/>
        </w:rPr>
        <w:t xml:space="preserve">was </w:t>
      </w:r>
      <w:r w:rsidR="00891612">
        <w:rPr>
          <w:sz w:val="20"/>
          <w:lang w:val="en-US"/>
        </w:rPr>
        <w:t xml:space="preserve">also </w:t>
      </w:r>
      <w:r w:rsidR="00E2102E">
        <w:rPr>
          <w:sz w:val="20"/>
          <w:lang w:val="en-US"/>
        </w:rPr>
        <w:t>show</w:t>
      </w:r>
      <w:r w:rsidR="00B8400A">
        <w:rPr>
          <w:sz w:val="20"/>
          <w:lang w:val="en-US"/>
        </w:rPr>
        <w:t>n</w:t>
      </w:r>
      <w:r w:rsidR="00E2102E">
        <w:rPr>
          <w:sz w:val="20"/>
          <w:lang w:val="en-US"/>
        </w:rPr>
        <w:t xml:space="preserve"> </w:t>
      </w:r>
      <w:r w:rsidR="00B8400A">
        <w:rPr>
          <w:sz w:val="20"/>
          <w:lang w:val="en-US"/>
        </w:rPr>
        <w:t>to be</w:t>
      </w:r>
      <w:r w:rsidR="00E2102E">
        <w:rPr>
          <w:sz w:val="20"/>
          <w:lang w:val="en-US"/>
        </w:rPr>
        <w:t xml:space="preserve"> </w:t>
      </w:r>
      <w:r w:rsidR="00B8400A">
        <w:rPr>
          <w:sz w:val="20"/>
          <w:lang w:val="en-US"/>
        </w:rPr>
        <w:t xml:space="preserve">significantly influenced by </w:t>
      </w:r>
      <w:r w:rsidR="00E2102E">
        <w:rPr>
          <w:sz w:val="20"/>
          <w:lang w:val="en-US"/>
        </w:rPr>
        <w:t>the</w:t>
      </w:r>
      <w:r w:rsidR="00E2102E" w:rsidRPr="00E2102E">
        <w:rPr>
          <w:sz w:val="20"/>
          <w:lang w:val="en-US"/>
        </w:rPr>
        <w:t xml:space="preserve"> character of </w:t>
      </w:r>
      <w:r w:rsidR="00B8400A">
        <w:rPr>
          <w:sz w:val="20"/>
          <w:lang w:val="en-US"/>
        </w:rPr>
        <w:t xml:space="preserve">the </w:t>
      </w:r>
      <w:r w:rsidR="00E2102E" w:rsidRPr="00E2102E">
        <w:rPr>
          <w:sz w:val="20"/>
          <w:lang w:val="en-US"/>
        </w:rPr>
        <w:t>HA</w:t>
      </w:r>
      <w:r w:rsidR="00B8400A">
        <w:rPr>
          <w:sz w:val="20"/>
          <w:lang w:val="en-US"/>
        </w:rPr>
        <w:t>–</w:t>
      </w:r>
      <w:r w:rsidR="00E2102E" w:rsidRPr="00E2102E">
        <w:rPr>
          <w:sz w:val="20"/>
          <w:lang w:val="en-US"/>
        </w:rPr>
        <w:t xml:space="preserve">LA </w:t>
      </w:r>
      <w:r w:rsidR="00B8400A">
        <w:rPr>
          <w:sz w:val="20"/>
          <w:lang w:val="en-US"/>
        </w:rPr>
        <w:t xml:space="preserve">bond </w:t>
      </w:r>
      <w:r w:rsidR="00E2102E">
        <w:rPr>
          <w:sz w:val="20"/>
          <w:lang w:val="en-US"/>
        </w:rPr>
        <w:t>which could be modified by substituents</w:t>
      </w:r>
      <w:r w:rsidR="00B8400A">
        <w:rPr>
          <w:sz w:val="20"/>
          <w:lang w:val="en-US"/>
        </w:rPr>
        <w:t xml:space="preserve"> oriented</w:t>
      </w:r>
      <w:r w:rsidR="00E2102E">
        <w:rPr>
          <w:sz w:val="20"/>
          <w:lang w:val="en-US"/>
        </w:rPr>
        <w:t xml:space="preserve"> </w:t>
      </w:r>
      <w:r w:rsidR="00E2102E" w:rsidRPr="000619BA">
        <w:rPr>
          <w:i/>
          <w:iCs/>
          <w:sz w:val="20"/>
          <w:lang w:val="en-US"/>
        </w:rPr>
        <w:t xml:space="preserve">trans </w:t>
      </w:r>
      <w:r w:rsidR="00E2102E">
        <w:rPr>
          <w:sz w:val="20"/>
          <w:lang w:val="en-US"/>
        </w:rPr>
        <w:t xml:space="preserve">to the </w:t>
      </w:r>
      <w:r w:rsidR="00B8400A">
        <w:rPr>
          <w:sz w:val="20"/>
          <w:lang w:val="en-US"/>
        </w:rPr>
        <w:t>LA spectator</w:t>
      </w:r>
      <w:r w:rsidR="00E2102E">
        <w:rPr>
          <w:sz w:val="20"/>
          <w:lang w:val="en-US"/>
        </w:rPr>
        <w:t xml:space="preserve"> atom. </w:t>
      </w:r>
    </w:p>
    <w:p w14:paraId="6AF242DC" w14:textId="1B1150A4" w:rsidR="006441AE" w:rsidRDefault="000619BA" w:rsidP="000619BA">
      <w:pPr>
        <w:tabs>
          <w:tab w:val="left" w:pos="540"/>
        </w:tabs>
        <w:jc w:val="both"/>
        <w:rPr>
          <w:sz w:val="20"/>
          <w:lang w:val="en-US"/>
        </w:rPr>
      </w:pPr>
      <w:r>
        <w:rPr>
          <w:sz w:val="20"/>
          <w:lang w:val="en-US"/>
        </w:rPr>
        <w:tab/>
        <w:t>I</w:t>
      </w:r>
      <w:r w:rsidR="00E2102E" w:rsidRPr="00E2102E">
        <w:rPr>
          <w:sz w:val="20"/>
          <w:lang w:val="en-US"/>
        </w:rPr>
        <w:t xml:space="preserve">n this study we </w:t>
      </w:r>
      <w:r w:rsidR="00B8400A">
        <w:rPr>
          <w:sz w:val="20"/>
          <w:lang w:val="en-US"/>
        </w:rPr>
        <w:t>explore</w:t>
      </w:r>
      <w:r w:rsidR="00E2102E" w:rsidRPr="00E2102E">
        <w:rPr>
          <w:sz w:val="20"/>
          <w:lang w:val="en-US"/>
        </w:rPr>
        <w:t xml:space="preserve"> </w:t>
      </w:r>
      <w:r w:rsidR="00B8400A">
        <w:rPr>
          <w:sz w:val="20"/>
          <w:lang w:val="en-US"/>
        </w:rPr>
        <w:t xml:space="preserve">the SO HALA </w:t>
      </w:r>
      <w:r w:rsidR="008B79CD">
        <w:rPr>
          <w:sz w:val="20"/>
          <w:lang w:val="en-US"/>
        </w:rPr>
        <w:t xml:space="preserve">effect </w:t>
      </w:r>
      <w:r w:rsidR="008B79CD" w:rsidRPr="00E2102E">
        <w:rPr>
          <w:sz w:val="20"/>
          <w:lang w:val="en-US"/>
        </w:rPr>
        <w:t>further</w:t>
      </w:r>
      <w:r w:rsidR="00E2102E" w:rsidRPr="00E2102E">
        <w:rPr>
          <w:sz w:val="20"/>
          <w:lang w:val="en-US"/>
        </w:rPr>
        <w:t xml:space="preserve"> by examining the </w:t>
      </w:r>
      <w:r>
        <w:rPr>
          <w:sz w:val="20"/>
          <w:lang w:val="en-US"/>
        </w:rPr>
        <w:t xml:space="preserve">link between </w:t>
      </w:r>
      <w:r w:rsidR="00B8400A">
        <w:rPr>
          <w:sz w:val="20"/>
          <w:lang w:val="en-US"/>
        </w:rPr>
        <w:t>the SO</w:t>
      </w:r>
      <w:r>
        <w:rPr>
          <w:sz w:val="20"/>
          <w:lang w:val="en-US"/>
        </w:rPr>
        <w:t xml:space="preserve"> effects on NMR shielding</w:t>
      </w:r>
      <w:r w:rsidR="00222B34">
        <w:rPr>
          <w:sz w:val="20"/>
          <w:lang w:val="en-US"/>
        </w:rPr>
        <w:t xml:space="preserve"> of the light atom</w:t>
      </w:r>
      <w:r>
        <w:rPr>
          <w:sz w:val="20"/>
          <w:lang w:val="en-US"/>
        </w:rPr>
        <w:t xml:space="preserve"> (δ</w:t>
      </w:r>
      <w:r w:rsidR="00222B34">
        <w:rPr>
          <w:sz w:val="20"/>
          <w:vertAlign w:val="superscript"/>
          <w:lang w:val="en-US"/>
        </w:rPr>
        <w:t>SO</w:t>
      </w:r>
      <w:r>
        <w:rPr>
          <w:sz w:val="20"/>
          <w:lang w:val="en-US"/>
        </w:rPr>
        <w:t>) and</w:t>
      </w:r>
      <w:r w:rsidR="00073C7B">
        <w:rPr>
          <w:sz w:val="20"/>
          <w:lang w:val="en-US"/>
        </w:rPr>
        <w:t xml:space="preserve"> </w:t>
      </w:r>
      <w:r w:rsidR="00222B34">
        <w:rPr>
          <w:sz w:val="20"/>
          <w:lang w:val="en-US"/>
        </w:rPr>
        <w:t xml:space="preserve">molecular </w:t>
      </w:r>
      <w:r w:rsidR="00E2102E" w:rsidRPr="00E2102E">
        <w:rPr>
          <w:sz w:val="20"/>
          <w:lang w:val="en-US"/>
        </w:rPr>
        <w:t>magnetically induced currents (SO-MICs)</w:t>
      </w:r>
      <w:r>
        <w:rPr>
          <w:sz w:val="20"/>
          <w:lang w:val="en-US"/>
        </w:rPr>
        <w:t>.</w:t>
      </w:r>
    </w:p>
    <w:p w14:paraId="6AFBE8C2" w14:textId="77777777" w:rsidR="00EC7D9E" w:rsidRDefault="00EC7D9E" w:rsidP="000619BA">
      <w:pPr>
        <w:tabs>
          <w:tab w:val="left" w:pos="540"/>
        </w:tabs>
        <w:jc w:val="both"/>
        <w:rPr>
          <w:sz w:val="20"/>
          <w:lang w:val="en-US"/>
        </w:rPr>
      </w:pPr>
    </w:p>
    <w:p w14:paraId="5D1D379C" w14:textId="4B44E414" w:rsidR="00EC7D9E" w:rsidRDefault="007B3108" w:rsidP="00222B34">
      <w:pPr>
        <w:tabs>
          <w:tab w:val="left" w:pos="540"/>
        </w:tabs>
        <w:spacing w:before="120" w:after="120"/>
        <w:jc w:val="center"/>
        <w:rPr>
          <w:sz w:val="20"/>
          <w:lang w:val="en-US"/>
        </w:rPr>
      </w:pPr>
      <w:r>
        <w:rPr>
          <w:noProof/>
          <w:sz w:val="20"/>
          <w:lang w:val="cs-CZ" w:eastAsia="cs-CZ"/>
        </w:rPr>
        <w:drawing>
          <wp:inline distT="0" distB="0" distL="0" distR="0" wp14:anchorId="28A660F3" wp14:editId="06D8EE91">
            <wp:extent cx="2019300" cy="1362075"/>
            <wp:effectExtent l="0" t="0" r="0" b="0"/>
            <wp:docPr id="1" name="obrázek 1" descr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B537B" w14:textId="77777777" w:rsidR="00EC7D9E" w:rsidRDefault="00EC7D9E" w:rsidP="000619BA">
      <w:pPr>
        <w:tabs>
          <w:tab w:val="left" w:pos="540"/>
        </w:tabs>
        <w:jc w:val="both"/>
        <w:rPr>
          <w:sz w:val="20"/>
          <w:lang w:val="en-US"/>
        </w:rPr>
      </w:pPr>
    </w:p>
    <w:p w14:paraId="62C5BBFE" w14:textId="741088F0" w:rsidR="000619BA" w:rsidRDefault="000619BA" w:rsidP="000619BA">
      <w:pPr>
        <w:tabs>
          <w:tab w:val="left" w:pos="540"/>
        </w:tabs>
        <w:jc w:val="both"/>
        <w:rPr>
          <w:sz w:val="20"/>
          <w:lang w:val="en-US"/>
        </w:rPr>
      </w:pPr>
      <w:r>
        <w:rPr>
          <w:sz w:val="20"/>
          <w:lang w:val="en-US"/>
        </w:rPr>
        <w:tab/>
        <w:t xml:space="preserve">We used </w:t>
      </w:r>
      <w:r w:rsidR="00222B34" w:rsidRPr="000619BA">
        <w:rPr>
          <w:sz w:val="20"/>
          <w:lang w:val="en-US"/>
        </w:rPr>
        <w:t xml:space="preserve">four-component </w:t>
      </w:r>
      <w:r w:rsidR="00222B34">
        <w:rPr>
          <w:sz w:val="20"/>
          <w:lang w:val="en-US"/>
        </w:rPr>
        <w:t xml:space="preserve">approach employing </w:t>
      </w:r>
      <w:r w:rsidR="00222B34" w:rsidRPr="000619BA">
        <w:rPr>
          <w:sz w:val="20"/>
          <w:lang w:val="en-US"/>
        </w:rPr>
        <w:t>Dirac–Kohn–Sham Hamiltonian</w:t>
      </w:r>
      <w:r w:rsidR="00222B34">
        <w:rPr>
          <w:sz w:val="20"/>
          <w:lang w:val="en-US"/>
        </w:rPr>
        <w:t xml:space="preserve"> to treat the SO effects, </w:t>
      </w:r>
      <w:r>
        <w:rPr>
          <w:sz w:val="20"/>
          <w:lang w:val="en-US"/>
        </w:rPr>
        <w:t>PBE</w:t>
      </w:r>
      <w:r w:rsidR="00222B34">
        <w:rPr>
          <w:sz w:val="20"/>
          <w:lang w:val="en-US"/>
        </w:rPr>
        <w:t>0</w:t>
      </w:r>
      <w:r>
        <w:rPr>
          <w:sz w:val="20"/>
          <w:lang w:val="en-US"/>
        </w:rPr>
        <w:t xml:space="preserve"> functional</w:t>
      </w:r>
      <w:r w:rsidR="00222B34">
        <w:rPr>
          <w:sz w:val="20"/>
          <w:lang w:val="en-US"/>
        </w:rPr>
        <w:t>,</w:t>
      </w:r>
      <w:r>
        <w:rPr>
          <w:sz w:val="20"/>
          <w:lang w:val="en-US"/>
        </w:rPr>
        <w:t xml:space="preserve"> </w:t>
      </w:r>
      <w:r w:rsidR="00222B34">
        <w:rPr>
          <w:sz w:val="20"/>
          <w:lang w:val="en-US"/>
        </w:rPr>
        <w:t xml:space="preserve">and </w:t>
      </w:r>
      <w:r>
        <w:rPr>
          <w:sz w:val="20"/>
          <w:lang w:val="en-US"/>
        </w:rPr>
        <w:t>simple HALA systems</w:t>
      </w:r>
      <w:r w:rsidR="00073C7B">
        <w:rPr>
          <w:sz w:val="20"/>
          <w:lang w:val="en-US"/>
        </w:rPr>
        <w:t>.</w:t>
      </w:r>
      <w:r w:rsidR="00603480">
        <w:rPr>
          <w:sz w:val="20"/>
          <w:lang w:val="en-US"/>
        </w:rPr>
        <w:t xml:space="preserve"> </w:t>
      </w:r>
      <w:r w:rsidR="00222B34">
        <w:rPr>
          <w:sz w:val="20"/>
          <w:lang w:val="en-US"/>
        </w:rPr>
        <w:t>We</w:t>
      </w:r>
      <w:r w:rsidR="00603480">
        <w:rPr>
          <w:sz w:val="20"/>
          <w:lang w:val="en-US"/>
        </w:rPr>
        <w:t xml:space="preserve"> focus</w:t>
      </w:r>
      <w:r w:rsidR="00222B34">
        <w:rPr>
          <w:sz w:val="20"/>
          <w:lang w:val="en-US"/>
        </w:rPr>
        <w:t>ed</w:t>
      </w:r>
      <w:r w:rsidR="00603480">
        <w:rPr>
          <w:sz w:val="20"/>
          <w:lang w:val="en-US"/>
        </w:rPr>
        <w:t xml:space="preserve"> on the currents </w:t>
      </w:r>
      <w:r w:rsidR="00222B34">
        <w:rPr>
          <w:sz w:val="20"/>
          <w:lang w:val="en-US"/>
        </w:rPr>
        <w:t xml:space="preserve">on HA–LA bonds and </w:t>
      </w:r>
      <w:r w:rsidR="00603480">
        <w:rPr>
          <w:sz w:val="20"/>
          <w:lang w:val="en-US"/>
        </w:rPr>
        <w:t>in the vicinity of light atom</w:t>
      </w:r>
      <w:r w:rsidR="00222B34">
        <w:rPr>
          <w:sz w:val="20"/>
          <w:lang w:val="en-US"/>
        </w:rPr>
        <w:t>.</w:t>
      </w:r>
      <w:r w:rsidR="00073C7B">
        <w:rPr>
          <w:sz w:val="20"/>
          <w:lang w:val="en-US"/>
        </w:rPr>
        <w:t xml:space="preserve"> </w:t>
      </w:r>
      <w:r w:rsidR="00222B34">
        <w:rPr>
          <w:sz w:val="20"/>
          <w:lang w:val="en-US"/>
        </w:rPr>
        <w:t>T</w:t>
      </w:r>
      <w:r w:rsidR="00073C7B">
        <w:rPr>
          <w:sz w:val="20"/>
          <w:lang w:val="en-US"/>
        </w:rPr>
        <w:t xml:space="preserve">he </w:t>
      </w:r>
      <w:r w:rsidR="00603480">
        <w:rPr>
          <w:sz w:val="20"/>
          <w:lang w:val="en-US"/>
        </w:rPr>
        <w:t>results revealed a clear link between the two properties</w:t>
      </w:r>
      <w:r w:rsidR="00222B34">
        <w:rPr>
          <w:sz w:val="20"/>
          <w:lang w:val="en-US"/>
        </w:rPr>
        <w:t xml:space="preserve"> and provide additional information about the HA–LA bonds</w:t>
      </w:r>
      <w:r w:rsidR="00603480">
        <w:rPr>
          <w:sz w:val="20"/>
          <w:lang w:val="en-US"/>
        </w:rPr>
        <w:t xml:space="preserve">. </w:t>
      </w:r>
    </w:p>
    <w:p w14:paraId="56C9F044" w14:textId="77777777" w:rsidR="000619BA" w:rsidRDefault="000619BA" w:rsidP="000619BA">
      <w:pPr>
        <w:tabs>
          <w:tab w:val="left" w:pos="540"/>
        </w:tabs>
        <w:jc w:val="both"/>
        <w:rPr>
          <w:sz w:val="20"/>
          <w:lang w:val="en-US"/>
        </w:rPr>
      </w:pPr>
    </w:p>
    <w:p w14:paraId="1C13373F" w14:textId="77777777" w:rsidR="000619BA" w:rsidRDefault="000619BA" w:rsidP="000619BA">
      <w:pPr>
        <w:tabs>
          <w:tab w:val="left" w:pos="540"/>
        </w:tabs>
        <w:jc w:val="both"/>
        <w:rPr>
          <w:sz w:val="20"/>
          <w:lang w:val="en-US"/>
        </w:rPr>
      </w:pPr>
    </w:p>
    <w:p w14:paraId="283B3DDC" w14:textId="77777777" w:rsidR="00603480" w:rsidRPr="00603480" w:rsidRDefault="00D81043" w:rsidP="000619BA">
      <w:pPr>
        <w:tabs>
          <w:tab w:val="left" w:pos="540"/>
        </w:tabs>
        <w:jc w:val="both"/>
        <w:rPr>
          <w:b/>
          <w:bCs/>
          <w:sz w:val="20"/>
          <w:lang w:val="en-US"/>
        </w:rPr>
      </w:pPr>
      <w:r w:rsidRPr="00D81043">
        <w:rPr>
          <w:b/>
          <w:bCs/>
          <w:sz w:val="20"/>
          <w:lang w:val="en-US"/>
        </w:rPr>
        <w:t xml:space="preserve">REFERENCES </w:t>
      </w:r>
    </w:p>
    <w:p w14:paraId="47605E8E" w14:textId="47AAAD5B" w:rsidR="008B79CD" w:rsidRPr="008B79CD" w:rsidRDefault="00D81043" w:rsidP="008B79CD">
      <w:pPr>
        <w:pStyle w:val="Bibliografie"/>
        <w:rPr>
          <w:sz w:val="19"/>
        </w:rPr>
      </w:pPr>
      <w:r>
        <w:rPr>
          <w:sz w:val="19"/>
          <w:szCs w:val="19"/>
          <w:lang w:val="en-US"/>
        </w:rPr>
        <w:fldChar w:fldCharType="begin"/>
      </w:r>
      <w:r>
        <w:rPr>
          <w:sz w:val="19"/>
          <w:szCs w:val="19"/>
          <w:lang w:val="en-US"/>
        </w:rPr>
        <w:instrText xml:space="preserve"> ADDIN ZOTERO_BIBL {"uncited":[],"omitted":[],"custom":[]} CSL_BIBLIOGRAPHY </w:instrText>
      </w:r>
      <w:r>
        <w:rPr>
          <w:sz w:val="19"/>
          <w:szCs w:val="19"/>
          <w:lang w:val="en-US"/>
        </w:rPr>
        <w:fldChar w:fldCharType="separate"/>
      </w:r>
      <w:r w:rsidR="008B79CD" w:rsidRPr="008B79CD">
        <w:rPr>
          <w:sz w:val="19"/>
        </w:rPr>
        <w:t xml:space="preserve">(1) </w:t>
      </w:r>
      <w:r w:rsidR="008B79CD" w:rsidRPr="008B79CD">
        <w:rPr>
          <w:sz w:val="19"/>
        </w:rPr>
        <w:tab/>
        <w:t xml:space="preserve">Novotný, J.; Vícha, J.; Bora, P. L.; Repisky, M.; Straka, M.; Komorovsky, S.; Marek, R. </w:t>
      </w:r>
      <w:r w:rsidR="008B79CD" w:rsidRPr="008B79CD">
        <w:rPr>
          <w:i/>
          <w:iCs/>
          <w:sz w:val="19"/>
        </w:rPr>
        <w:t>J. Chem. Theory Comput.</w:t>
      </w:r>
      <w:r w:rsidR="008B79CD" w:rsidRPr="008B79CD">
        <w:rPr>
          <w:sz w:val="19"/>
        </w:rPr>
        <w:t xml:space="preserve"> </w:t>
      </w:r>
      <w:r w:rsidR="008B79CD" w:rsidRPr="008B79CD">
        <w:rPr>
          <w:b/>
          <w:bCs/>
          <w:sz w:val="19"/>
        </w:rPr>
        <w:t>2017</w:t>
      </w:r>
      <w:r w:rsidR="008B79CD" w:rsidRPr="008B79CD">
        <w:rPr>
          <w:sz w:val="19"/>
        </w:rPr>
        <w:t xml:space="preserve">, </w:t>
      </w:r>
      <w:r w:rsidR="008B79CD" w:rsidRPr="008B79CD">
        <w:rPr>
          <w:i/>
          <w:iCs/>
          <w:sz w:val="19"/>
        </w:rPr>
        <w:t>13</w:t>
      </w:r>
      <w:r w:rsidR="008B79CD" w:rsidRPr="008B79CD">
        <w:rPr>
          <w:sz w:val="19"/>
        </w:rPr>
        <w:t xml:space="preserve"> (8), 3586–3601. https://doi.org/10.1021/acs.jctc.7b00444.</w:t>
      </w:r>
    </w:p>
    <w:p w14:paraId="571843AD" w14:textId="403B8D5B" w:rsidR="008B79CD" w:rsidRPr="008B79CD" w:rsidRDefault="008B79CD" w:rsidP="008B79CD">
      <w:pPr>
        <w:pStyle w:val="Bibliografie"/>
        <w:rPr>
          <w:sz w:val="19"/>
        </w:rPr>
      </w:pPr>
      <w:r w:rsidRPr="008B79CD">
        <w:rPr>
          <w:sz w:val="19"/>
        </w:rPr>
        <w:t xml:space="preserve">(2) </w:t>
      </w:r>
      <w:r w:rsidRPr="008B79CD">
        <w:rPr>
          <w:sz w:val="19"/>
        </w:rPr>
        <w:tab/>
        <w:t xml:space="preserve">Vícha, J.; Straka, M.; Munzarová, M. L.; Marek, R.. </w:t>
      </w:r>
      <w:r w:rsidRPr="008B79CD">
        <w:rPr>
          <w:i/>
          <w:iCs/>
          <w:sz w:val="19"/>
        </w:rPr>
        <w:t>J. Chem. Theory Comput.</w:t>
      </w:r>
      <w:r w:rsidRPr="008B79CD">
        <w:rPr>
          <w:sz w:val="19"/>
        </w:rPr>
        <w:t xml:space="preserve"> </w:t>
      </w:r>
      <w:r w:rsidRPr="008B79CD">
        <w:rPr>
          <w:b/>
          <w:bCs/>
          <w:sz w:val="19"/>
        </w:rPr>
        <w:t>2014</w:t>
      </w:r>
      <w:r w:rsidRPr="008B79CD">
        <w:rPr>
          <w:sz w:val="19"/>
        </w:rPr>
        <w:t xml:space="preserve">, </w:t>
      </w:r>
      <w:r w:rsidRPr="008B79CD">
        <w:rPr>
          <w:i/>
          <w:iCs/>
          <w:sz w:val="19"/>
        </w:rPr>
        <w:t>10</w:t>
      </w:r>
      <w:r w:rsidRPr="008B79CD">
        <w:rPr>
          <w:sz w:val="19"/>
        </w:rPr>
        <w:t xml:space="preserve"> (4), 1489–1499. </w:t>
      </w:r>
    </w:p>
    <w:p w14:paraId="58E938BC" w14:textId="50904612" w:rsidR="008B79CD" w:rsidRPr="008B79CD" w:rsidRDefault="008B79CD" w:rsidP="008B79CD">
      <w:pPr>
        <w:pStyle w:val="Bibliografie"/>
        <w:rPr>
          <w:sz w:val="19"/>
        </w:rPr>
      </w:pPr>
      <w:r w:rsidRPr="008B79CD">
        <w:rPr>
          <w:sz w:val="19"/>
        </w:rPr>
        <w:t xml:space="preserve">(3) </w:t>
      </w:r>
      <w:r w:rsidRPr="008B79CD">
        <w:rPr>
          <w:sz w:val="19"/>
        </w:rPr>
        <w:tab/>
        <w:t xml:space="preserve">Vı́cha, J.; Novotný, J.; Komorovsky, S.; Straka, M.; Kaupp, M.; Marek, R. </w:t>
      </w:r>
      <w:r w:rsidRPr="008B79CD">
        <w:rPr>
          <w:i/>
          <w:iCs/>
          <w:sz w:val="19"/>
        </w:rPr>
        <w:t>Chem. Rev.</w:t>
      </w:r>
      <w:r w:rsidRPr="008B79CD">
        <w:rPr>
          <w:sz w:val="19"/>
        </w:rPr>
        <w:t xml:space="preserve"> </w:t>
      </w:r>
      <w:r w:rsidRPr="008B79CD">
        <w:rPr>
          <w:b/>
          <w:bCs/>
          <w:sz w:val="19"/>
        </w:rPr>
        <w:t>2020</w:t>
      </w:r>
      <w:r w:rsidRPr="008B79CD">
        <w:rPr>
          <w:sz w:val="19"/>
        </w:rPr>
        <w:t xml:space="preserve">, </w:t>
      </w:r>
      <w:r w:rsidRPr="008B79CD">
        <w:rPr>
          <w:i/>
          <w:iCs/>
          <w:sz w:val="19"/>
        </w:rPr>
        <w:t>120</w:t>
      </w:r>
      <w:r w:rsidRPr="008B79CD">
        <w:rPr>
          <w:sz w:val="19"/>
        </w:rPr>
        <w:t xml:space="preserve"> (15), 7065–7103.</w:t>
      </w:r>
    </w:p>
    <w:p w14:paraId="43D002F1" w14:textId="57631E97" w:rsidR="00603480" w:rsidRPr="007257D9" w:rsidRDefault="00D81043" w:rsidP="000619BA">
      <w:pPr>
        <w:tabs>
          <w:tab w:val="left" w:pos="540"/>
        </w:tabs>
        <w:jc w:val="both"/>
        <w:rPr>
          <w:sz w:val="19"/>
          <w:szCs w:val="19"/>
          <w:lang w:val="en-US"/>
        </w:rPr>
      </w:pPr>
      <w:r>
        <w:rPr>
          <w:sz w:val="19"/>
          <w:szCs w:val="19"/>
          <w:lang w:val="en-US"/>
        </w:rPr>
        <w:fldChar w:fldCharType="end"/>
      </w:r>
    </w:p>
    <w:sectPr w:rsidR="00603480" w:rsidRPr="007257D9">
      <w:pgSz w:w="9979" w:h="14175" w:code="34"/>
      <w:pgMar w:top="1701" w:right="1474" w:bottom="1701" w:left="147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97377A" w16cex:dateUtc="2020-12-30T16:29:00Z"/>
  <w16cex:commentExtensible w16cex:durableId="2397387E" w16cex:dateUtc="2020-12-30T16:33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AF6E88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7A8D8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FE5740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A873C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7846574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6A9120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8E81DA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629FB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36135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E4414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1N7QwNDa3NDI3NzZS0lEKTi0uzszPAykwrAUA2AI+UCwAAAA="/>
  </w:docVars>
  <w:rsids>
    <w:rsidRoot w:val="00F52E2C"/>
    <w:rsid w:val="000224C0"/>
    <w:rsid w:val="00045C27"/>
    <w:rsid w:val="000619BA"/>
    <w:rsid w:val="00073C7B"/>
    <w:rsid w:val="00222B34"/>
    <w:rsid w:val="00335116"/>
    <w:rsid w:val="00343838"/>
    <w:rsid w:val="003B092E"/>
    <w:rsid w:val="003F5A9D"/>
    <w:rsid w:val="00506487"/>
    <w:rsid w:val="00523550"/>
    <w:rsid w:val="00603480"/>
    <w:rsid w:val="00626686"/>
    <w:rsid w:val="006441AE"/>
    <w:rsid w:val="00652BBD"/>
    <w:rsid w:val="00697DFD"/>
    <w:rsid w:val="007257D9"/>
    <w:rsid w:val="0075114C"/>
    <w:rsid w:val="007956D8"/>
    <w:rsid w:val="007B3108"/>
    <w:rsid w:val="0080075A"/>
    <w:rsid w:val="00862B6D"/>
    <w:rsid w:val="00866C14"/>
    <w:rsid w:val="00891612"/>
    <w:rsid w:val="008B79CD"/>
    <w:rsid w:val="008D3295"/>
    <w:rsid w:val="008E3F70"/>
    <w:rsid w:val="00947CDA"/>
    <w:rsid w:val="009C32FD"/>
    <w:rsid w:val="00A71588"/>
    <w:rsid w:val="00AB48A9"/>
    <w:rsid w:val="00B314A0"/>
    <w:rsid w:val="00B8400A"/>
    <w:rsid w:val="00C33D48"/>
    <w:rsid w:val="00D0290C"/>
    <w:rsid w:val="00D349AF"/>
    <w:rsid w:val="00D532C2"/>
    <w:rsid w:val="00D81043"/>
    <w:rsid w:val="00DB65BB"/>
    <w:rsid w:val="00DC3D1E"/>
    <w:rsid w:val="00E2102E"/>
    <w:rsid w:val="00E25442"/>
    <w:rsid w:val="00E37388"/>
    <w:rsid w:val="00EC7D9E"/>
    <w:rsid w:val="00ED0830"/>
    <w:rsid w:val="00F52E2C"/>
    <w:rsid w:val="00F632E0"/>
    <w:rsid w:val="00FA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EAA907"/>
  <w15:chartTrackingRefBased/>
  <w15:docId w15:val="{6D44AE99-ACF8-4AE8-A7CA-170FCD82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pl-PL" w:eastAsia="pl-PL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Zptenadresanaoblku">
    <w:name w:val="envelope return"/>
    <w:basedOn w:val="Normln"/>
    <w:rPr>
      <w:rFonts w:ascii="Arial" w:hAnsi="Arial" w:cs="Arial"/>
      <w:sz w:val="20"/>
      <w:szCs w:val="20"/>
    </w:rPr>
  </w:style>
  <w:style w:type="paragraph" w:styleId="Datum">
    <w:name w:val="Date"/>
    <w:basedOn w:val="Normln"/>
    <w:next w:val="Normln"/>
  </w:style>
  <w:style w:type="paragraph" w:styleId="AdresaHTML">
    <w:name w:val="HTML Address"/>
    <w:basedOn w:val="Normln"/>
    <w:rPr>
      <w:i/>
      <w:iCs/>
    </w:rPr>
  </w:style>
  <w:style w:type="paragraph" w:styleId="FormtovanvHTML">
    <w:name w:val="HTML Preformatted"/>
    <w:basedOn w:val="Normln"/>
    <w:rPr>
      <w:rFonts w:ascii="Courier New" w:hAnsi="Courier New" w:cs="Courier New"/>
      <w:sz w:val="20"/>
      <w:szCs w:val="20"/>
    </w:rPr>
  </w:style>
  <w:style w:type="paragraph" w:styleId="Rejstk1">
    <w:name w:val="index 1"/>
    <w:basedOn w:val="Normln"/>
    <w:next w:val="Normln"/>
    <w:autoRedefine/>
    <w:semiHidden/>
    <w:pPr>
      <w:ind w:left="240" w:hanging="240"/>
    </w:pPr>
  </w:style>
  <w:style w:type="paragraph" w:styleId="Rejstk2">
    <w:name w:val="index 2"/>
    <w:basedOn w:val="Normln"/>
    <w:next w:val="Normln"/>
    <w:autoRedefine/>
    <w:semiHidden/>
    <w:pPr>
      <w:ind w:left="480" w:hanging="240"/>
    </w:pPr>
  </w:style>
  <w:style w:type="paragraph" w:styleId="Rejstk3">
    <w:name w:val="index 3"/>
    <w:basedOn w:val="Normln"/>
    <w:next w:val="Normln"/>
    <w:autoRedefine/>
    <w:semiHidden/>
    <w:pPr>
      <w:ind w:left="720" w:hanging="240"/>
    </w:pPr>
  </w:style>
  <w:style w:type="paragraph" w:styleId="Rejstk4">
    <w:name w:val="index 4"/>
    <w:basedOn w:val="Normln"/>
    <w:next w:val="Normln"/>
    <w:autoRedefine/>
    <w:semiHidden/>
    <w:pPr>
      <w:ind w:left="960" w:hanging="240"/>
    </w:pPr>
  </w:style>
  <w:style w:type="paragraph" w:styleId="Rejstk5">
    <w:name w:val="index 5"/>
    <w:basedOn w:val="Normln"/>
    <w:next w:val="Normln"/>
    <w:autoRedefine/>
    <w:semiHidden/>
    <w:pPr>
      <w:ind w:left="1200" w:hanging="240"/>
    </w:pPr>
  </w:style>
  <w:style w:type="paragraph" w:styleId="Rejstk6">
    <w:name w:val="index 6"/>
    <w:basedOn w:val="Normln"/>
    <w:next w:val="Normln"/>
    <w:autoRedefine/>
    <w:semiHidden/>
    <w:pPr>
      <w:ind w:left="1440" w:hanging="240"/>
    </w:pPr>
  </w:style>
  <w:style w:type="paragraph" w:styleId="Rejstk7">
    <w:name w:val="index 7"/>
    <w:basedOn w:val="Normln"/>
    <w:next w:val="Normln"/>
    <w:autoRedefine/>
    <w:semiHidden/>
    <w:pPr>
      <w:ind w:left="1680" w:hanging="240"/>
    </w:pPr>
  </w:style>
  <w:style w:type="paragraph" w:styleId="Rejstk8">
    <w:name w:val="index 8"/>
    <w:basedOn w:val="Normln"/>
    <w:next w:val="Normln"/>
    <w:autoRedefine/>
    <w:semiHidden/>
    <w:pPr>
      <w:ind w:left="1920" w:hanging="240"/>
    </w:pPr>
  </w:style>
  <w:style w:type="paragraph" w:styleId="Rejstk9">
    <w:name w:val="index 9"/>
    <w:basedOn w:val="Normln"/>
    <w:next w:val="Normln"/>
    <w:autoRedefine/>
    <w:semiHidden/>
    <w:pPr>
      <w:ind w:left="2160" w:hanging="240"/>
    </w:pPr>
  </w:style>
  <w:style w:type="paragraph" w:styleId="Titulek">
    <w:name w:val="caption"/>
    <w:basedOn w:val="Normln"/>
    <w:next w:val="Normln"/>
    <w:qFormat/>
    <w:pPr>
      <w:spacing w:before="120" w:after="120"/>
    </w:pPr>
    <w:rPr>
      <w:b/>
      <w:bCs/>
      <w:sz w:val="20"/>
      <w:szCs w:val="20"/>
    </w:rPr>
  </w:style>
  <w:style w:type="paragraph" w:styleId="Seznam">
    <w:name w:val="List"/>
    <w:basedOn w:val="Normln"/>
    <w:pPr>
      <w:ind w:left="283" w:hanging="283"/>
    </w:pPr>
  </w:style>
  <w:style w:type="paragraph" w:styleId="Pokraovnseznamu">
    <w:name w:val="List Continue"/>
    <w:basedOn w:val="Normln"/>
    <w:pPr>
      <w:spacing w:after="120"/>
      <w:ind w:left="283"/>
    </w:pPr>
  </w:style>
  <w:style w:type="paragraph" w:styleId="Pokraovnseznamu2">
    <w:name w:val="List Continue 2"/>
    <w:basedOn w:val="Normln"/>
    <w:pPr>
      <w:spacing w:after="120"/>
      <w:ind w:left="566"/>
    </w:pPr>
  </w:style>
  <w:style w:type="paragraph" w:styleId="Pokraovnseznamu3">
    <w:name w:val="List Continue 3"/>
    <w:basedOn w:val="Normln"/>
    <w:pPr>
      <w:spacing w:after="120"/>
      <w:ind w:left="849"/>
    </w:pPr>
  </w:style>
  <w:style w:type="paragraph" w:styleId="Pokraovnseznamu4">
    <w:name w:val="List Continue 4"/>
    <w:basedOn w:val="Normln"/>
    <w:pPr>
      <w:spacing w:after="120"/>
      <w:ind w:left="1132"/>
    </w:pPr>
  </w:style>
  <w:style w:type="paragraph" w:styleId="Pokraovnseznamu5">
    <w:name w:val="List Continue 5"/>
    <w:basedOn w:val="Normln"/>
    <w:pPr>
      <w:spacing w:after="120"/>
      <w:ind w:left="1415"/>
    </w:pPr>
  </w:style>
  <w:style w:type="paragraph" w:styleId="Seznam2">
    <w:name w:val="List 2"/>
    <w:basedOn w:val="Normln"/>
    <w:pPr>
      <w:ind w:left="566" w:hanging="283"/>
    </w:pPr>
  </w:style>
  <w:style w:type="paragraph" w:styleId="Seznam3">
    <w:name w:val="List 3"/>
    <w:basedOn w:val="Normln"/>
    <w:pPr>
      <w:ind w:left="849" w:hanging="283"/>
    </w:pPr>
  </w:style>
  <w:style w:type="paragraph" w:styleId="Seznam4">
    <w:name w:val="List 4"/>
    <w:basedOn w:val="Normln"/>
    <w:pPr>
      <w:ind w:left="1132" w:hanging="283"/>
    </w:pPr>
  </w:style>
  <w:style w:type="paragraph" w:styleId="Seznam5">
    <w:name w:val="List 5"/>
    <w:basedOn w:val="Normln"/>
    <w:pPr>
      <w:ind w:left="1415" w:hanging="283"/>
    </w:pPr>
  </w:style>
  <w:style w:type="paragraph" w:styleId="slovanseznam">
    <w:name w:val="List Number"/>
    <w:basedOn w:val="Normln"/>
    <w:pPr>
      <w:numPr>
        <w:numId w:val="1"/>
      </w:numPr>
    </w:pPr>
  </w:style>
  <w:style w:type="paragraph" w:styleId="slovanseznam2">
    <w:name w:val="List Number 2"/>
    <w:basedOn w:val="Normln"/>
    <w:pPr>
      <w:numPr>
        <w:numId w:val="2"/>
      </w:numPr>
    </w:pPr>
  </w:style>
  <w:style w:type="paragraph" w:styleId="slovanseznam3">
    <w:name w:val="List Number 3"/>
    <w:basedOn w:val="Normln"/>
    <w:pPr>
      <w:numPr>
        <w:numId w:val="3"/>
      </w:numPr>
    </w:pPr>
  </w:style>
  <w:style w:type="paragraph" w:styleId="slovanseznam4">
    <w:name w:val="List Number 4"/>
    <w:basedOn w:val="Normln"/>
    <w:pPr>
      <w:numPr>
        <w:numId w:val="4"/>
      </w:numPr>
    </w:pPr>
  </w:style>
  <w:style w:type="paragraph" w:styleId="slovanseznam5">
    <w:name w:val="List Number 5"/>
    <w:basedOn w:val="Normln"/>
    <w:pPr>
      <w:numPr>
        <w:numId w:val="5"/>
      </w:numPr>
    </w:pPr>
  </w:style>
  <w:style w:type="paragraph" w:styleId="Seznamsodrkami2">
    <w:name w:val="List Bullet 2"/>
    <w:basedOn w:val="Normln"/>
    <w:autoRedefine/>
    <w:pPr>
      <w:numPr>
        <w:numId w:val="6"/>
      </w:numPr>
    </w:pPr>
  </w:style>
  <w:style w:type="paragraph" w:styleId="Seznamsodrkami3">
    <w:name w:val="List Bullet 3"/>
    <w:basedOn w:val="Normln"/>
    <w:autoRedefine/>
    <w:pPr>
      <w:numPr>
        <w:numId w:val="7"/>
      </w:numPr>
    </w:pPr>
  </w:style>
  <w:style w:type="paragraph" w:styleId="Seznamsodrkami4">
    <w:name w:val="List Bullet 4"/>
    <w:basedOn w:val="Normln"/>
    <w:autoRedefine/>
    <w:pPr>
      <w:numPr>
        <w:numId w:val="8"/>
      </w:numPr>
    </w:pPr>
  </w:style>
  <w:style w:type="paragraph" w:styleId="Seznamsodrkami5">
    <w:name w:val="List Bullet 5"/>
    <w:basedOn w:val="Normln"/>
    <w:autoRedefine/>
    <w:pPr>
      <w:numPr>
        <w:numId w:val="9"/>
      </w:numPr>
    </w:pPr>
  </w:style>
  <w:style w:type="paragraph" w:styleId="Seznamsodrkami">
    <w:name w:val="List Bullet"/>
    <w:basedOn w:val="Normln"/>
    <w:autoRedefine/>
    <w:pPr>
      <w:numPr>
        <w:numId w:val="10"/>
      </w:numPr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Hlavikarejstku">
    <w:name w:val="index heading"/>
    <w:basedOn w:val="Normln"/>
    <w:next w:val="Rejstk1"/>
    <w:semiHidden/>
    <w:rPr>
      <w:rFonts w:ascii="Arial" w:hAnsi="Arial" w:cs="Arial"/>
      <w:b/>
      <w:bCs/>
    </w:rPr>
  </w:style>
  <w:style w:type="paragraph" w:styleId="Nadpispoznmky">
    <w:name w:val="Note Heading"/>
    <w:basedOn w:val="Normln"/>
    <w:next w:val="Normln"/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 w:cs="Arial"/>
      <w:b/>
      <w:bCs/>
    </w:rPr>
  </w:style>
  <w:style w:type="paragraph" w:styleId="Normlnweb">
    <w:name w:val="Normal (Web)"/>
    <w:basedOn w:val="Normln"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styleId="Podnadpis">
    <w:name w:val="Subtitle"/>
    <w:basedOn w:val="Normln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Seznamobrzk">
    <w:name w:val="table of figures"/>
    <w:basedOn w:val="Normln"/>
    <w:next w:val="Normln"/>
    <w:semiHidden/>
    <w:pPr>
      <w:ind w:left="480" w:hanging="480"/>
    </w:pPr>
  </w:style>
  <w:style w:type="paragraph" w:styleId="Obsah1">
    <w:name w:val="toc 1"/>
    <w:basedOn w:val="Normln"/>
    <w:next w:val="Normln"/>
    <w:autoRedefine/>
    <w:semiHidden/>
  </w:style>
  <w:style w:type="paragraph" w:styleId="Obsah2">
    <w:name w:val="toc 2"/>
    <w:basedOn w:val="Normln"/>
    <w:next w:val="Normln"/>
    <w:autoRedefine/>
    <w:semiHidden/>
    <w:pPr>
      <w:ind w:left="240"/>
    </w:pPr>
  </w:style>
  <w:style w:type="paragraph" w:styleId="Obsah3">
    <w:name w:val="toc 3"/>
    <w:basedOn w:val="Normln"/>
    <w:next w:val="Normln"/>
    <w:autoRedefine/>
    <w:semiHidden/>
    <w:pPr>
      <w:ind w:left="480"/>
    </w:pPr>
  </w:style>
  <w:style w:type="paragraph" w:styleId="Obsah4">
    <w:name w:val="toc 4"/>
    <w:basedOn w:val="Normln"/>
    <w:next w:val="Normln"/>
    <w:autoRedefine/>
    <w:semiHidden/>
    <w:pPr>
      <w:ind w:left="720"/>
    </w:pPr>
  </w:style>
  <w:style w:type="paragraph" w:styleId="Obsah5">
    <w:name w:val="toc 5"/>
    <w:basedOn w:val="Normln"/>
    <w:next w:val="Normln"/>
    <w:autoRedefine/>
    <w:semiHidden/>
    <w:pPr>
      <w:ind w:left="960"/>
    </w:p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vbloku">
    <w:name w:val="Block Text"/>
    <w:basedOn w:val="Normln"/>
    <w:pPr>
      <w:spacing w:after="120"/>
      <w:ind w:left="1440" w:right="1440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pl-PL" w:eastAsia="pl-PL"/>
    </w:rPr>
  </w:style>
  <w:style w:type="paragraph" w:styleId="Zkladntext">
    <w:name w:val="Body Text"/>
    <w:basedOn w:val="Normln"/>
    <w:pPr>
      <w:spacing w:after="120"/>
    </w:p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kladntextodsazen3">
    <w:name w:val="Body Text Indent 3"/>
    <w:basedOn w:val="Normln"/>
    <w:pPr>
      <w:spacing w:after="120"/>
      <w:ind w:left="283"/>
    </w:pPr>
    <w:rPr>
      <w:sz w:val="16"/>
      <w:szCs w:val="16"/>
    </w:rPr>
  </w:style>
  <w:style w:type="paragraph" w:styleId="Zkladntext-prvnodsazen">
    <w:name w:val="Body Text First Indent"/>
    <w:basedOn w:val="Zkladntext"/>
    <w:pPr>
      <w:ind w:firstLine="210"/>
    </w:pPr>
  </w:style>
  <w:style w:type="paragraph" w:styleId="Zkladntext-prvnodsazen2">
    <w:name w:val="Body Text First Indent 2"/>
    <w:basedOn w:val="Zkladntextodsazen"/>
    <w:pPr>
      <w:ind w:firstLine="210"/>
    </w:pPr>
  </w:style>
  <w:style w:type="paragraph" w:styleId="Textpoznpodarou">
    <w:name w:val="footnote text"/>
    <w:basedOn w:val="Normln"/>
    <w:semiHidden/>
    <w:rPr>
      <w:sz w:val="20"/>
      <w:szCs w:val="20"/>
    </w:rPr>
  </w:style>
  <w:style w:type="paragraph" w:styleId="Textvysvtlivek">
    <w:name w:val="endnote text"/>
    <w:basedOn w:val="Normln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Nzev">
    <w:name w:val="Title"/>
    <w:basedOn w:val="Normln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odsazen">
    <w:name w:val="Normal Indent"/>
    <w:basedOn w:val="Normln"/>
    <w:pPr>
      <w:ind w:left="708"/>
    </w:pPr>
  </w:style>
  <w:style w:type="paragraph" w:styleId="Seznamcitac">
    <w:name w:val="table of authorities"/>
    <w:basedOn w:val="Normln"/>
    <w:next w:val="Normln"/>
    <w:semiHidden/>
    <w:pPr>
      <w:ind w:left="240" w:hanging="240"/>
    </w:pPr>
  </w:style>
  <w:style w:type="paragraph" w:styleId="Osloven">
    <w:name w:val="Salutation"/>
    <w:basedOn w:val="Normln"/>
    <w:next w:val="Normln"/>
  </w:style>
  <w:style w:type="paragraph" w:styleId="Zvr">
    <w:name w:val="Closing"/>
    <w:basedOn w:val="Normln"/>
    <w:pPr>
      <w:ind w:left="4252"/>
    </w:pPr>
  </w:style>
  <w:style w:type="paragraph" w:styleId="Prosttext">
    <w:name w:val="Plain Text"/>
    <w:basedOn w:val="Normln"/>
    <w:rPr>
      <w:rFonts w:ascii="Courier New" w:hAnsi="Courier New" w:cs="Courier New"/>
      <w:sz w:val="20"/>
      <w:szCs w:val="20"/>
    </w:rPr>
  </w:style>
  <w:style w:type="paragraph" w:styleId="Bibliografie">
    <w:name w:val="Bibliography"/>
    <w:basedOn w:val="Normln"/>
    <w:next w:val="Normln"/>
    <w:uiPriority w:val="37"/>
    <w:unhideWhenUsed/>
    <w:rsid w:val="00D81043"/>
    <w:pPr>
      <w:tabs>
        <w:tab w:val="left" w:pos="504"/>
      </w:tabs>
      <w:ind w:left="504" w:hanging="504"/>
    </w:pPr>
  </w:style>
  <w:style w:type="character" w:styleId="Odkaznakoment">
    <w:name w:val="annotation reference"/>
    <w:uiPriority w:val="99"/>
    <w:semiHidden/>
    <w:unhideWhenUsed/>
    <w:rsid w:val="00AB48A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7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826DF-7C53-4FF4-9D4B-E664161B7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1479</Characters>
  <Application>Microsoft Office Word</Application>
  <DocSecurity>0</DocSecurity>
  <Lines>12</Lines>
  <Paragraphs>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>PhD seminar</vt:lpstr>
      <vt:lpstr>PhD seminar</vt:lpstr>
      <vt:lpstr>CTTC V – GUIDELINES  FOR  ABSTRACT  PREPARATION</vt:lpstr>
    </vt:vector>
  </TitlesOfParts>
  <Company>MU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PhD seminar</dc:title>
  <dc:subject/>
  <dc:creator>BJRC</dc:creator>
  <cp:keywords/>
  <dc:description/>
  <cp:lastModifiedBy>Jiří Pinkas</cp:lastModifiedBy>
  <cp:revision>2</cp:revision>
  <cp:lastPrinted>2019-05-22T18:32:00Z</cp:lastPrinted>
  <dcterms:created xsi:type="dcterms:W3CDTF">2021-01-08T09:30:00Z</dcterms:created>
  <dcterms:modified xsi:type="dcterms:W3CDTF">2021-01-08T09:30:00Z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zotero-version="5.0.94"&gt;&lt;session id="cH0WGZQW"/&gt;&lt;style id="http://www.zotero.org/styles/american-chemical-society" hasBibliography="1" bibliographyStyleHasBeenSet="1"/&gt;&lt;prefs&gt;&lt;pref name="fieldType" value="Field"/&gt;&lt;/prefs&gt;&lt;/data&gt;</vt:lpwstr>
  </property>
</Properties>
</file>