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ED" w:rsidRPr="00C105BE" w:rsidRDefault="00283AED" w:rsidP="00283AED">
      <w:pPr>
        <w:spacing w:after="160" w:line="259" w:lineRule="auto"/>
        <w:jc w:val="center"/>
        <w:rPr>
          <w:rFonts w:eastAsia="Calibri"/>
          <w:b/>
          <w:bCs/>
          <w:sz w:val="32"/>
          <w:szCs w:val="32"/>
          <w:lang w:val="cs-CZ" w:eastAsia="en-US"/>
        </w:rPr>
      </w:pPr>
      <w:r w:rsidRPr="00C105BE">
        <w:rPr>
          <w:rFonts w:eastAsia="Calibri"/>
          <w:b/>
          <w:bCs/>
          <w:sz w:val="32"/>
          <w:szCs w:val="32"/>
          <w:lang w:val="en-US" w:eastAsia="en-US"/>
        </w:rPr>
        <w:t>Uncovering of the Structure and Reactivity Correlation of CO-photor</w:t>
      </w:r>
      <w:r w:rsidRPr="00C105BE">
        <w:rPr>
          <w:rFonts w:eastAsia="Calibri"/>
          <w:b/>
          <w:bCs/>
          <w:sz w:val="32"/>
          <w:szCs w:val="32"/>
          <w:lang w:val="cs-CZ" w:eastAsia="en-US"/>
        </w:rPr>
        <w:t>eactions of 3-Hydroxyflavone-Based Acid-Base forms</w:t>
      </w:r>
    </w:p>
    <w:p w:rsidR="00F1332C" w:rsidRPr="00283AED" w:rsidRDefault="00166D8F" w:rsidP="00F1332C">
      <w:pPr>
        <w:spacing w:line="360" w:lineRule="auto"/>
        <w:jc w:val="center"/>
        <w:rPr>
          <w:sz w:val="28"/>
          <w:szCs w:val="28"/>
        </w:rPr>
      </w:pPr>
      <w:r w:rsidRPr="00283AED">
        <w:rPr>
          <w:sz w:val="28"/>
          <w:szCs w:val="28"/>
          <w:u w:val="single"/>
        </w:rPr>
        <w:t xml:space="preserve">Marina </w:t>
      </w:r>
      <w:bookmarkStart w:id="0" w:name="_GoBack"/>
      <w:r w:rsidRPr="00283AED">
        <w:rPr>
          <w:sz w:val="28"/>
          <w:szCs w:val="28"/>
          <w:u w:val="single"/>
        </w:rPr>
        <w:t>Russo</w:t>
      </w:r>
      <w:bookmarkEnd w:id="0"/>
      <w:r w:rsidRPr="00283AED">
        <w:rPr>
          <w:sz w:val="28"/>
          <w:szCs w:val="28"/>
        </w:rPr>
        <w:t>,</w:t>
      </w:r>
      <w:r w:rsidRPr="00283AED">
        <w:rPr>
          <w:sz w:val="28"/>
          <w:szCs w:val="28"/>
          <w:vertAlign w:val="superscript"/>
        </w:rPr>
        <w:t>†</w:t>
      </w:r>
      <w:r w:rsidRPr="00283AED">
        <w:rPr>
          <w:sz w:val="28"/>
          <w:szCs w:val="28"/>
        </w:rPr>
        <w:t xml:space="preserve"> Peter Štacko,</w:t>
      </w:r>
      <w:r w:rsidR="00283AED">
        <w:rPr>
          <w:sz w:val="28"/>
          <w:szCs w:val="28"/>
        </w:rPr>
        <w:t xml:space="preserve"> Lenka </w:t>
      </w:r>
      <w:r w:rsidR="00283AED" w:rsidRPr="00283AED">
        <w:rPr>
          <w:sz w:val="28"/>
          <w:szCs w:val="28"/>
        </w:rPr>
        <w:t>Karpíšková</w:t>
      </w:r>
      <w:r w:rsidRPr="00283AED">
        <w:rPr>
          <w:sz w:val="28"/>
          <w:szCs w:val="28"/>
          <w:vertAlign w:val="superscript"/>
        </w:rPr>
        <w:t>†</w:t>
      </w:r>
      <w:r w:rsidRPr="00283AED">
        <w:rPr>
          <w:sz w:val="28"/>
          <w:szCs w:val="28"/>
        </w:rPr>
        <w:t>, Petr Klán</w:t>
      </w:r>
      <w:r w:rsidRPr="00283AED">
        <w:rPr>
          <w:sz w:val="28"/>
          <w:szCs w:val="28"/>
          <w:vertAlign w:val="superscript"/>
        </w:rPr>
        <w:t>†</w:t>
      </w:r>
      <w:r w:rsidRPr="00283AED">
        <w:rPr>
          <w:sz w:val="28"/>
          <w:szCs w:val="28"/>
        </w:rPr>
        <w:t>,</w:t>
      </w:r>
      <w:r w:rsidRPr="00283AED">
        <w:rPr>
          <w:sz w:val="28"/>
          <w:szCs w:val="28"/>
          <w:vertAlign w:val="superscript"/>
        </w:rPr>
        <w:t>*</w:t>
      </w:r>
    </w:p>
    <w:p w:rsidR="00301DF8" w:rsidRPr="00C105BE" w:rsidRDefault="00166D8F" w:rsidP="00283AED">
      <w:pPr>
        <w:pStyle w:val="BIEmailAddress"/>
        <w:spacing w:line="240" w:lineRule="auto"/>
        <w:rPr>
          <w:sz w:val="20"/>
        </w:rPr>
      </w:pPr>
      <w:r w:rsidRPr="00C105BE">
        <w:rPr>
          <w:sz w:val="20"/>
          <w:vertAlign w:val="superscript"/>
        </w:rPr>
        <w:t>†</w:t>
      </w:r>
      <w:r w:rsidRPr="00C105BE">
        <w:rPr>
          <w:sz w:val="20"/>
        </w:rPr>
        <w:t>Department of Chemistry and RECETOX, Masaryk University, Kamenice 5, 625 00, Brno, Czech Republic</w:t>
      </w:r>
    </w:p>
    <w:p w:rsidR="00283AED" w:rsidRDefault="00283AED" w:rsidP="00166D8F">
      <w:pPr>
        <w:autoSpaceDE w:val="0"/>
        <w:autoSpaceDN w:val="0"/>
        <w:adjustRightInd w:val="0"/>
        <w:spacing w:line="360" w:lineRule="auto"/>
        <w:jc w:val="both"/>
        <w:rPr>
          <w:lang w:val="en-US"/>
        </w:rPr>
      </w:pPr>
      <w:r w:rsidRPr="00283AED">
        <w:rPr>
          <w:lang w:val="en-US"/>
        </w:rPr>
        <w:t>The well-established toxicity of CO appears contradictory with its possible therapeutical function.</w:t>
      </w:r>
      <w:r>
        <w:rPr>
          <w:lang w:val="en-US"/>
        </w:rPr>
        <w:t xml:space="preserve"> </w:t>
      </w:r>
      <w:r w:rsidRPr="00283AED">
        <w:rPr>
          <w:lang w:val="en-US"/>
        </w:rPr>
        <w:t>Indeed, barely in the last century was discover that CO is produced endogenously</w:t>
      </w:r>
      <w:r>
        <w:rPr>
          <w:lang w:val="en-US"/>
        </w:rPr>
        <w:t>.</w:t>
      </w:r>
    </w:p>
    <w:p w:rsidR="00166D8F" w:rsidRPr="00301DF8" w:rsidRDefault="00166D8F" w:rsidP="00166D8F">
      <w:pPr>
        <w:autoSpaceDE w:val="0"/>
        <w:autoSpaceDN w:val="0"/>
        <w:adjustRightInd w:val="0"/>
        <w:spacing w:line="360" w:lineRule="auto"/>
        <w:jc w:val="both"/>
        <w:rPr>
          <w:lang w:val="en-US"/>
        </w:rPr>
      </w:pPr>
      <w:r w:rsidRPr="00301DF8">
        <w:rPr>
          <w:lang w:val="en-US"/>
        </w:rPr>
        <w:t>Studies of the effects of CO have demonstrated its potential to produce a variety of beneficial health outcomes, including anti-inflammatory, anti-bacterial effects</w:t>
      </w:r>
      <w:r w:rsidRPr="00283AED">
        <w:rPr>
          <w:lang w:val="en-US"/>
        </w:rPr>
        <w:t>,</w:t>
      </w:r>
      <w:r w:rsidRPr="00301DF8">
        <w:rPr>
          <w:lang w:val="en-US"/>
        </w:rPr>
        <w:t xml:space="preserve"> and </w:t>
      </w:r>
      <w:r w:rsidRPr="00283AED">
        <w:rPr>
          <w:lang w:val="en-US"/>
        </w:rPr>
        <w:t>antiproliferative effects on cancer.</w:t>
      </w:r>
      <w:r w:rsidR="00301DF8">
        <w:rPr>
          <w:rStyle w:val="Znakapoznpodarou"/>
        </w:rPr>
        <w:footnoteReference w:id="1"/>
      </w:r>
      <w:r w:rsidRPr="00301DF8">
        <w:rPr>
          <w:lang w:val="en-US"/>
        </w:rPr>
        <w:t xml:space="preserve"> Therefore, carbon monoxide-releasing molecules (CORMs), biologically compatible agents allowing for defined administration of carbon monoxide into living organisms to circumvent its acute toxicity, are of special interest.</w:t>
      </w:r>
      <w:r w:rsidR="00051E2A">
        <w:rPr>
          <w:rStyle w:val="Znakapoznpodarou"/>
          <w:lang w:val="en-US"/>
        </w:rPr>
        <w:footnoteReference w:id="2"/>
      </w:r>
      <w:r w:rsidRPr="00301DF8">
        <w:rPr>
          <w:lang w:val="en-US"/>
        </w:rPr>
        <w:t xml:space="preserve"> A precise spatial and temporal control over the CO release can be achieved via activation of the CORM by light (photoCORMs).</w:t>
      </w:r>
    </w:p>
    <w:p w:rsidR="00166D8F" w:rsidRPr="00301DF8" w:rsidRDefault="00166D8F" w:rsidP="00301DF8">
      <w:pPr>
        <w:autoSpaceDE w:val="0"/>
        <w:autoSpaceDN w:val="0"/>
        <w:adjustRightInd w:val="0"/>
        <w:spacing w:line="360" w:lineRule="auto"/>
        <w:jc w:val="both"/>
        <w:rPr>
          <w:lang w:val="en-US"/>
        </w:rPr>
      </w:pPr>
      <w:r w:rsidRPr="00301DF8">
        <w:rPr>
          <w:lang w:val="en-US"/>
        </w:rPr>
        <w:t>A good photoCORM should be stable under ambient conditions and soluble in aerobic aqueous environments. It should release CO using light at wavelengths that do not have the potential to impart cellular damage and may exhibit fluorescence to enable tracking in the cell.</w:t>
      </w:r>
    </w:p>
    <w:p w:rsidR="00166D8F" w:rsidRPr="00301DF8" w:rsidRDefault="00166D8F" w:rsidP="00301DF8">
      <w:pPr>
        <w:autoSpaceDE w:val="0"/>
        <w:autoSpaceDN w:val="0"/>
        <w:adjustRightInd w:val="0"/>
        <w:spacing w:line="360" w:lineRule="auto"/>
        <w:jc w:val="both"/>
        <w:rPr>
          <w:lang w:val="en-US"/>
        </w:rPr>
      </w:pPr>
      <w:r w:rsidRPr="00301DF8">
        <w:rPr>
          <w:lang w:val="en-US"/>
        </w:rPr>
        <w:t>Understanding the mechanism is a key step for designing new derivatives with improved properties for biological applications, such as water solubility, higher quantum yield and the absorption spectra in the visible light region.</w:t>
      </w:r>
    </w:p>
    <w:p w:rsidR="006753C0" w:rsidRDefault="00166D8F" w:rsidP="00283AED">
      <w:pPr>
        <w:autoSpaceDE w:val="0"/>
        <w:autoSpaceDN w:val="0"/>
        <w:adjustRightInd w:val="0"/>
        <w:spacing w:line="360" w:lineRule="auto"/>
        <w:jc w:val="both"/>
        <w:rPr>
          <w:lang w:val="en-US"/>
        </w:rPr>
      </w:pPr>
      <w:r w:rsidRPr="00301DF8">
        <w:rPr>
          <w:lang w:val="en-US"/>
        </w:rPr>
        <w:t>The detailed mechanism of the photochemically induced CO release from</w:t>
      </w:r>
      <w:r w:rsidR="00283AED">
        <w:rPr>
          <w:lang w:val="en-US"/>
        </w:rPr>
        <w:t xml:space="preserve"> </w:t>
      </w:r>
      <w:r w:rsidR="00283AED" w:rsidRPr="00301DF8">
        <w:rPr>
          <w:lang w:val="en-US"/>
        </w:rPr>
        <w:t>3-Hydroxy-</w:t>
      </w:r>
      <w:r w:rsidR="00283AED" w:rsidRPr="00283AED">
        <w:rPr>
          <w:lang w:val="en-US"/>
        </w:rPr>
        <w:t>2-phenyl-benzo[</w:t>
      </w:r>
      <w:r w:rsidR="00283AED" w:rsidRPr="00283AED">
        <w:rPr>
          <w:i/>
          <w:lang w:val="en-US"/>
        </w:rPr>
        <w:t>g</w:t>
      </w:r>
      <w:r w:rsidR="00283AED" w:rsidRPr="00283AED">
        <w:rPr>
          <w:lang w:val="en-US"/>
        </w:rPr>
        <w:t>]chromen-4-one</w:t>
      </w:r>
      <w:r w:rsidRPr="00301DF8">
        <w:rPr>
          <w:lang w:val="en-US"/>
        </w:rPr>
        <w:t xml:space="preserve"> </w:t>
      </w:r>
      <w:r w:rsidR="00283AED">
        <w:rPr>
          <w:lang w:val="en-US"/>
        </w:rPr>
        <w:t>has been studied in our group</w:t>
      </w:r>
      <w:r w:rsidRPr="00301DF8">
        <w:rPr>
          <w:lang w:val="en-US"/>
        </w:rPr>
        <w:t>.</w:t>
      </w:r>
      <w:r w:rsidR="00283AED">
        <w:rPr>
          <w:rStyle w:val="Znakapoznpodarou"/>
          <w:lang w:val="en-US"/>
        </w:rPr>
        <w:footnoteReference w:id="3"/>
      </w:r>
    </w:p>
    <w:p w:rsidR="00283AED" w:rsidRDefault="004F7C2D" w:rsidP="00283AED">
      <w:pPr>
        <w:autoSpaceDE w:val="0"/>
        <w:autoSpaceDN w:val="0"/>
        <w:adjustRightInd w:val="0"/>
        <w:spacing w:line="360" w:lineRule="auto"/>
        <w:jc w:val="center"/>
        <w:rPr>
          <w:lang w:val="en-US"/>
        </w:rPr>
      </w:pPr>
      <w:r w:rsidRPr="00874274">
        <w:rPr>
          <w:noProof/>
          <w:lang w:val="cs-CZ" w:eastAsia="cs-CZ"/>
        </w:rPr>
        <w:drawing>
          <wp:inline distT="0" distB="0" distL="0" distR="0">
            <wp:extent cx="2038350" cy="904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t="2586" b="6035"/>
                    <a:stretch>
                      <a:fillRect/>
                    </a:stretch>
                  </pic:blipFill>
                  <pic:spPr bwMode="auto">
                    <a:xfrm>
                      <a:off x="0" y="0"/>
                      <a:ext cx="2038350" cy="904875"/>
                    </a:xfrm>
                    <a:prstGeom prst="rect">
                      <a:avLst/>
                    </a:prstGeom>
                    <a:noFill/>
                    <a:ln>
                      <a:noFill/>
                    </a:ln>
                  </pic:spPr>
                </pic:pic>
              </a:graphicData>
            </a:graphic>
          </wp:inline>
        </w:drawing>
      </w:r>
    </w:p>
    <w:p w:rsidR="00283AED" w:rsidRPr="00E93F1E" w:rsidRDefault="00BE241E" w:rsidP="00283AED">
      <w:pPr>
        <w:autoSpaceDE w:val="0"/>
        <w:autoSpaceDN w:val="0"/>
        <w:adjustRightInd w:val="0"/>
        <w:spacing w:line="360" w:lineRule="auto"/>
        <w:jc w:val="both"/>
        <w:rPr>
          <w:lang w:val="en-US"/>
        </w:rPr>
      </w:pPr>
      <w:r>
        <w:rPr>
          <w:lang w:val="en-US"/>
        </w:rPr>
        <w:t xml:space="preserve">For a deeper </w:t>
      </w:r>
      <w:r w:rsidRPr="00BE241E">
        <w:rPr>
          <w:lang w:val="en-US"/>
        </w:rPr>
        <w:t>comprehend</w:t>
      </w:r>
      <w:r>
        <w:rPr>
          <w:lang w:val="en-US"/>
        </w:rPr>
        <w:t>ing, an</w:t>
      </w:r>
      <w:r w:rsidR="00283AED">
        <w:rPr>
          <w:lang w:val="en-US"/>
        </w:rPr>
        <w:t xml:space="preserve"> u</w:t>
      </w:r>
      <w:r w:rsidR="00283AED" w:rsidRPr="00283AED">
        <w:rPr>
          <w:lang w:val="en-US"/>
        </w:rPr>
        <w:t>ncover</w:t>
      </w:r>
      <w:r>
        <w:rPr>
          <w:lang w:val="en-US"/>
        </w:rPr>
        <w:t>ed</w:t>
      </w:r>
      <w:r w:rsidR="00283AED" w:rsidRPr="00283AED">
        <w:rPr>
          <w:lang w:val="en-US"/>
        </w:rPr>
        <w:t xml:space="preserve"> </w:t>
      </w:r>
      <w:r w:rsidR="00283AED">
        <w:rPr>
          <w:lang w:val="en-US"/>
        </w:rPr>
        <w:t xml:space="preserve">study </w:t>
      </w:r>
      <w:r w:rsidR="00283AED" w:rsidRPr="00283AED">
        <w:rPr>
          <w:lang w:val="en-US"/>
        </w:rPr>
        <w:t xml:space="preserve">of the </w:t>
      </w:r>
      <w:r w:rsidR="00283AED">
        <w:rPr>
          <w:lang w:val="en-US"/>
        </w:rPr>
        <w:t>s</w:t>
      </w:r>
      <w:r w:rsidR="00283AED" w:rsidRPr="00283AED">
        <w:rPr>
          <w:lang w:val="en-US"/>
        </w:rPr>
        <w:t xml:space="preserve">tructure and </w:t>
      </w:r>
      <w:r w:rsidR="00283AED">
        <w:rPr>
          <w:lang w:val="en-US"/>
        </w:rPr>
        <w:t>r</w:t>
      </w:r>
      <w:r w:rsidR="00283AED" w:rsidRPr="00283AED">
        <w:rPr>
          <w:lang w:val="en-US"/>
        </w:rPr>
        <w:t xml:space="preserve">eactivity </w:t>
      </w:r>
      <w:r w:rsidR="00283AED">
        <w:rPr>
          <w:lang w:val="en-US"/>
        </w:rPr>
        <w:t>c</w:t>
      </w:r>
      <w:r w:rsidR="00283AED" w:rsidRPr="00283AED">
        <w:rPr>
          <w:lang w:val="en-US"/>
        </w:rPr>
        <w:t xml:space="preserve">orrelation of CO-photoreactions of </w:t>
      </w:r>
      <w:r w:rsidR="00283AED">
        <w:rPr>
          <w:lang w:val="en-US"/>
        </w:rPr>
        <w:t xml:space="preserve">such </w:t>
      </w:r>
      <w:r w:rsidR="005058D5">
        <w:rPr>
          <w:lang w:val="en-US"/>
        </w:rPr>
        <w:t>class</w:t>
      </w:r>
      <w:r w:rsidR="00283AED">
        <w:rPr>
          <w:lang w:val="en-US"/>
        </w:rPr>
        <w:t xml:space="preserve"> of compound will be presented in this station.</w:t>
      </w:r>
    </w:p>
    <w:sectPr w:rsidR="00283AED" w:rsidRPr="00E93F1E" w:rsidSect="00B12DC3">
      <w:headerReference w:type="default" r:id="rId9"/>
      <w:pgSz w:w="11906" w:h="16838"/>
      <w:pgMar w:top="1701" w:right="1418" w:bottom="1701" w:left="1418" w:header="57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FD" w:rsidRDefault="009F0DFD">
      <w:r>
        <w:separator/>
      </w:r>
    </w:p>
  </w:endnote>
  <w:endnote w:type="continuationSeparator" w:id="0">
    <w:p w:rsidR="009F0DFD" w:rsidRDefault="009F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FD" w:rsidRDefault="009F0DFD">
      <w:r>
        <w:separator/>
      </w:r>
    </w:p>
  </w:footnote>
  <w:footnote w:type="continuationSeparator" w:id="0">
    <w:p w:rsidR="009F0DFD" w:rsidRDefault="009F0DFD">
      <w:r>
        <w:continuationSeparator/>
      </w:r>
    </w:p>
  </w:footnote>
  <w:footnote w:id="1">
    <w:p w:rsidR="00301DF8" w:rsidRPr="00051E2A" w:rsidRDefault="00301DF8">
      <w:pPr>
        <w:pStyle w:val="Textpoznpodarou"/>
      </w:pPr>
      <w:r w:rsidRPr="00051E2A">
        <w:rPr>
          <w:rStyle w:val="Znakapoznpodarou"/>
        </w:rPr>
        <w:footnoteRef/>
      </w:r>
      <w:r w:rsidRPr="00051E2A">
        <w:t xml:space="preserve"> L. Vítek, H. Gbelcová, L. Muchová, R. Koníčková, J. Šuk, M. Zadinova, Z. Knejzlík, S. Ahmad, T. Fujisawa, A. Ahmed, T. Ruml,  </w:t>
      </w:r>
      <w:r w:rsidRPr="00051E2A">
        <w:rPr>
          <w:i/>
        </w:rPr>
        <w:t>Digestive and Liver Disease</w:t>
      </w:r>
      <w:r w:rsidRPr="00051E2A">
        <w:t xml:space="preserve"> </w:t>
      </w:r>
      <w:r w:rsidRPr="00051E2A">
        <w:rPr>
          <w:b/>
        </w:rPr>
        <w:t>2014</w:t>
      </w:r>
      <w:r w:rsidRPr="00051E2A">
        <w:t>, 46 369-375.</w:t>
      </w:r>
    </w:p>
  </w:footnote>
  <w:footnote w:id="2">
    <w:p w:rsidR="00051E2A" w:rsidRPr="00051E2A" w:rsidRDefault="00051E2A" w:rsidP="00051E2A">
      <w:pPr>
        <w:pStyle w:val="Textvysvtlivek"/>
        <w:rPr>
          <w:rFonts w:ascii="Times New Roman" w:hAnsi="Times New Roman"/>
        </w:rPr>
      </w:pPr>
      <w:r w:rsidRPr="00051E2A">
        <w:rPr>
          <w:rStyle w:val="Znakapoznpodarou"/>
          <w:rFonts w:ascii="Times New Roman" w:hAnsi="Times New Roman"/>
        </w:rPr>
        <w:footnoteRef/>
      </w:r>
      <w:r w:rsidRPr="00051E2A">
        <w:rPr>
          <w:rFonts w:ascii="Times New Roman" w:hAnsi="Times New Roman"/>
        </w:rPr>
        <w:t xml:space="preserve"> C. C. Romao, W. A. Blatter, J. D. Seixas, G. J. L. Bernades, </w:t>
      </w:r>
      <w:r w:rsidRPr="00051E2A">
        <w:rPr>
          <w:rFonts w:ascii="Times New Roman" w:hAnsi="Times New Roman"/>
          <w:i/>
        </w:rPr>
        <w:t>Chem. Soc. Rev</w:t>
      </w:r>
      <w:r w:rsidRPr="00051E2A">
        <w:rPr>
          <w:rFonts w:ascii="Times New Roman" w:hAnsi="Times New Roman"/>
        </w:rPr>
        <w:t xml:space="preserve">. </w:t>
      </w:r>
      <w:r w:rsidRPr="00051E2A">
        <w:rPr>
          <w:rFonts w:ascii="Times New Roman" w:hAnsi="Times New Roman"/>
          <w:b/>
        </w:rPr>
        <w:t>2012</w:t>
      </w:r>
      <w:r w:rsidRPr="00051E2A">
        <w:rPr>
          <w:rFonts w:ascii="Times New Roman" w:hAnsi="Times New Roman"/>
        </w:rPr>
        <w:t xml:space="preserve">, </w:t>
      </w:r>
      <w:r w:rsidRPr="00051E2A">
        <w:rPr>
          <w:rFonts w:ascii="Times New Roman" w:hAnsi="Times New Roman"/>
          <w:i/>
        </w:rPr>
        <w:t>41</w:t>
      </w:r>
      <w:r w:rsidRPr="00051E2A">
        <w:rPr>
          <w:rFonts w:ascii="Times New Roman" w:hAnsi="Times New Roman"/>
        </w:rPr>
        <w:t>, 3571-3583</w:t>
      </w:r>
    </w:p>
  </w:footnote>
  <w:footnote w:id="3">
    <w:p w:rsidR="00283AED" w:rsidRPr="00283AED" w:rsidRDefault="00283AED">
      <w:pPr>
        <w:pStyle w:val="Textpoznpodarou"/>
        <w:rPr>
          <w:lang w:val="cs-CZ"/>
        </w:rPr>
      </w:pPr>
      <w:r>
        <w:rPr>
          <w:rStyle w:val="Znakapoznpodarou"/>
        </w:rPr>
        <w:footnoteRef/>
      </w:r>
      <w:r w:rsidRPr="00283AED">
        <w:rPr>
          <w:lang w:val="cs-CZ"/>
        </w:rPr>
        <w:t xml:space="preserve"> Russo M., Štacko P., Nachtigallová D., Klán P J. Org. Chem. 2020, 85, 3527-3537.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C4" w:rsidRDefault="00D555C4">
    <w:pPr>
      <w:pStyle w:val="Zhlav"/>
      <w:jc w:val="center"/>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F4E7168"/>
    <w:multiLevelType w:val="singleLevel"/>
    <w:tmpl w:val="CB948AFC"/>
    <w:lvl w:ilvl="0">
      <w:numFmt w:val="bullet"/>
      <w:lvlText w:val="-"/>
      <w:lvlJc w:val="left"/>
      <w:pPr>
        <w:tabs>
          <w:tab w:val="num" w:pos="360"/>
        </w:tabs>
        <w:ind w:left="360" w:hanging="360"/>
      </w:pPr>
      <w:rPr>
        <w:rFonts w:ascii="Times New Roman" w:hAnsi="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xNDExMzI2MjSxsDBX0lEKTi0uzszPAykwqQUAyJ/BaiwAAAA="/>
  </w:docVars>
  <w:rsids>
    <w:rsidRoot w:val="004D7E45"/>
    <w:rsid w:val="00014B08"/>
    <w:rsid w:val="00051E2A"/>
    <w:rsid w:val="00067CA5"/>
    <w:rsid w:val="000A2420"/>
    <w:rsid w:val="000C6C02"/>
    <w:rsid w:val="00165DA3"/>
    <w:rsid w:val="00166D8F"/>
    <w:rsid w:val="001A4DA8"/>
    <w:rsid w:val="001B58B2"/>
    <w:rsid w:val="00216292"/>
    <w:rsid w:val="00226372"/>
    <w:rsid w:val="00232ACB"/>
    <w:rsid w:val="002359FF"/>
    <w:rsid w:val="00253D11"/>
    <w:rsid w:val="00283AED"/>
    <w:rsid w:val="002A4197"/>
    <w:rsid w:val="002C5ADF"/>
    <w:rsid w:val="002E79B1"/>
    <w:rsid w:val="002F4AEB"/>
    <w:rsid w:val="00301DF8"/>
    <w:rsid w:val="00306A55"/>
    <w:rsid w:val="00311DDB"/>
    <w:rsid w:val="003231D6"/>
    <w:rsid w:val="003369F1"/>
    <w:rsid w:val="00351AAA"/>
    <w:rsid w:val="00374E0D"/>
    <w:rsid w:val="003C1799"/>
    <w:rsid w:val="003E41D7"/>
    <w:rsid w:val="003F0ECD"/>
    <w:rsid w:val="003F183E"/>
    <w:rsid w:val="00424C64"/>
    <w:rsid w:val="00465845"/>
    <w:rsid w:val="00495276"/>
    <w:rsid w:val="004D7E45"/>
    <w:rsid w:val="004F2C74"/>
    <w:rsid w:val="004F7C2D"/>
    <w:rsid w:val="005058D5"/>
    <w:rsid w:val="00513CC1"/>
    <w:rsid w:val="00536348"/>
    <w:rsid w:val="005567E2"/>
    <w:rsid w:val="005C59FE"/>
    <w:rsid w:val="00606B90"/>
    <w:rsid w:val="0064729F"/>
    <w:rsid w:val="006753C0"/>
    <w:rsid w:val="006839BC"/>
    <w:rsid w:val="00696629"/>
    <w:rsid w:val="007034DF"/>
    <w:rsid w:val="00707BE0"/>
    <w:rsid w:val="00714483"/>
    <w:rsid w:val="00760D60"/>
    <w:rsid w:val="007663E5"/>
    <w:rsid w:val="0077221F"/>
    <w:rsid w:val="007A056D"/>
    <w:rsid w:val="007A0F38"/>
    <w:rsid w:val="007B18A7"/>
    <w:rsid w:val="007C7E18"/>
    <w:rsid w:val="0084132F"/>
    <w:rsid w:val="00854B04"/>
    <w:rsid w:val="00904CD3"/>
    <w:rsid w:val="00905271"/>
    <w:rsid w:val="00911FD2"/>
    <w:rsid w:val="009D1BF8"/>
    <w:rsid w:val="009F0DFD"/>
    <w:rsid w:val="00A4720F"/>
    <w:rsid w:val="00A57659"/>
    <w:rsid w:val="00A95138"/>
    <w:rsid w:val="00AC7D9B"/>
    <w:rsid w:val="00AD57EE"/>
    <w:rsid w:val="00AD66D0"/>
    <w:rsid w:val="00AE1057"/>
    <w:rsid w:val="00AE12E1"/>
    <w:rsid w:val="00AE1939"/>
    <w:rsid w:val="00AF5DED"/>
    <w:rsid w:val="00B12DC3"/>
    <w:rsid w:val="00B146BF"/>
    <w:rsid w:val="00B26BDF"/>
    <w:rsid w:val="00B5367C"/>
    <w:rsid w:val="00B66679"/>
    <w:rsid w:val="00B750B9"/>
    <w:rsid w:val="00B87610"/>
    <w:rsid w:val="00B95B1D"/>
    <w:rsid w:val="00BB7647"/>
    <w:rsid w:val="00BC651F"/>
    <w:rsid w:val="00BE241E"/>
    <w:rsid w:val="00C105BE"/>
    <w:rsid w:val="00C661B8"/>
    <w:rsid w:val="00C950A6"/>
    <w:rsid w:val="00CE460C"/>
    <w:rsid w:val="00CE7D5B"/>
    <w:rsid w:val="00D3317F"/>
    <w:rsid w:val="00D555C4"/>
    <w:rsid w:val="00D6657A"/>
    <w:rsid w:val="00D701E1"/>
    <w:rsid w:val="00D70F60"/>
    <w:rsid w:val="00DA39FB"/>
    <w:rsid w:val="00DD3432"/>
    <w:rsid w:val="00E24327"/>
    <w:rsid w:val="00E376DF"/>
    <w:rsid w:val="00E50FA0"/>
    <w:rsid w:val="00E93F1E"/>
    <w:rsid w:val="00EA6863"/>
    <w:rsid w:val="00F05EB5"/>
    <w:rsid w:val="00F1332C"/>
    <w:rsid w:val="00F20840"/>
    <w:rsid w:val="00F539E4"/>
    <w:rsid w:val="00F83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A4448-D88F-49C2-8F27-E3F1FDA3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it-IT" w:eastAsia="it-IT"/>
    </w:rPr>
  </w:style>
  <w:style w:type="paragraph" w:styleId="Nadpis1">
    <w:name w:val="heading 1"/>
    <w:basedOn w:val="Normln"/>
    <w:next w:val="Normln"/>
    <w:qFormat/>
    <w:pPr>
      <w:keepNext/>
      <w:ind w:right="-334"/>
      <w:jc w:val="center"/>
      <w:outlineLvl w:val="0"/>
    </w:pPr>
    <w:rPr>
      <w:rFonts w:ascii="Arial" w:hAnsi="Arial" w:cs="Arial"/>
      <w:b/>
      <w:color w:val="FF0000"/>
      <w:sz w:val="22"/>
      <w:u w:val="single"/>
      <w:lang w:val="en-G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153"/>
        <w:tab w:val="right" w:pos="8306"/>
      </w:tabs>
    </w:pPr>
    <w:rPr>
      <w:lang w:val="en-GB" w:eastAsia="en-US"/>
    </w:rPr>
  </w:style>
  <w:style w:type="paragraph" w:styleId="Zkladntext">
    <w:name w:val="Body Text"/>
    <w:basedOn w:val="Normln"/>
    <w:rPr>
      <w:rFonts w:ascii="Arial Narrow" w:hAnsi="Arial Narrow"/>
      <w:sz w:val="22"/>
      <w:lang w:val="en-GB" w:eastAsia="en-US"/>
    </w:rPr>
  </w:style>
  <w:style w:type="paragraph" w:styleId="Zpat">
    <w:name w:val="footer"/>
    <w:basedOn w:val="Normln"/>
    <w:pPr>
      <w:tabs>
        <w:tab w:val="center" w:pos="4153"/>
        <w:tab w:val="right" w:pos="8306"/>
      </w:tabs>
    </w:pPr>
    <w:rPr>
      <w:lang w:val="en-GB" w:eastAsia="en-US"/>
    </w:rPr>
  </w:style>
  <w:style w:type="character" w:styleId="Hypertextovodkaz">
    <w:name w:val="Hyperlink"/>
    <w:rPr>
      <w:color w:val="0000FF"/>
      <w:u w:val="single"/>
    </w:rPr>
  </w:style>
  <w:style w:type="character" w:customStyle="1" w:styleId="tdtitle1">
    <w:name w:val="tdtitle1"/>
    <w:rsid w:val="007A0F38"/>
    <w:rPr>
      <w:rFonts w:ascii="Verdana" w:hAnsi="Verdana" w:hint="default"/>
      <w:b/>
      <w:bCs/>
      <w:i w:val="0"/>
      <w:iCs w:val="0"/>
      <w:sz w:val="16"/>
      <w:szCs w:val="16"/>
    </w:rPr>
  </w:style>
  <w:style w:type="character" w:styleId="Sledovanodkaz">
    <w:name w:val="FollowedHyperlink"/>
    <w:rsid w:val="00E50FA0"/>
    <w:rPr>
      <w:color w:val="800080"/>
      <w:u w:val="single"/>
    </w:rPr>
  </w:style>
  <w:style w:type="paragraph" w:customStyle="1" w:styleId="BIEmailAddress">
    <w:name w:val="BI_Email_Address"/>
    <w:basedOn w:val="Normln"/>
    <w:next w:val="Normln"/>
    <w:rsid w:val="00166D8F"/>
    <w:pPr>
      <w:spacing w:after="200" w:line="480" w:lineRule="auto"/>
      <w:jc w:val="both"/>
    </w:pPr>
    <w:rPr>
      <w:rFonts w:ascii="Times" w:hAnsi="Times"/>
      <w:szCs w:val="20"/>
      <w:lang w:val="en-US" w:eastAsia="en-US"/>
    </w:rPr>
  </w:style>
  <w:style w:type="paragraph" w:styleId="Textvysvtlivek">
    <w:name w:val="endnote text"/>
    <w:basedOn w:val="Normln"/>
    <w:link w:val="TextvysvtlivekChar"/>
    <w:uiPriority w:val="99"/>
    <w:unhideWhenUsed/>
    <w:rsid w:val="00166D8F"/>
    <w:rPr>
      <w:rFonts w:ascii="Calibri" w:eastAsia="Calibri" w:hAnsi="Calibri"/>
      <w:sz w:val="20"/>
      <w:szCs w:val="20"/>
      <w:lang w:val="cs-CZ" w:eastAsia="en-US"/>
    </w:rPr>
  </w:style>
  <w:style w:type="character" w:customStyle="1" w:styleId="TextvysvtlivekChar">
    <w:name w:val="Text vysvětlivek Char"/>
    <w:link w:val="Textvysvtlivek"/>
    <w:uiPriority w:val="99"/>
    <w:rsid w:val="00166D8F"/>
    <w:rPr>
      <w:rFonts w:ascii="Calibri" w:eastAsia="Calibri" w:hAnsi="Calibri"/>
      <w:lang w:val="cs-CZ"/>
    </w:rPr>
  </w:style>
  <w:style w:type="character" w:styleId="Odkaznavysvtlivky">
    <w:name w:val="endnote reference"/>
    <w:uiPriority w:val="99"/>
    <w:unhideWhenUsed/>
    <w:rsid w:val="00166D8F"/>
    <w:rPr>
      <w:vertAlign w:val="superscript"/>
    </w:rPr>
  </w:style>
  <w:style w:type="character" w:customStyle="1" w:styleId="text">
    <w:name w:val="text"/>
    <w:rsid w:val="00166D8F"/>
  </w:style>
  <w:style w:type="paragraph" w:styleId="Textpoznpodarou">
    <w:name w:val="footnote text"/>
    <w:basedOn w:val="Normln"/>
    <w:link w:val="TextpoznpodarouChar"/>
    <w:uiPriority w:val="99"/>
    <w:semiHidden/>
    <w:unhideWhenUsed/>
    <w:rsid w:val="00301DF8"/>
    <w:rPr>
      <w:sz w:val="20"/>
      <w:szCs w:val="20"/>
    </w:rPr>
  </w:style>
  <w:style w:type="character" w:customStyle="1" w:styleId="TextpoznpodarouChar">
    <w:name w:val="Text pozn. pod čarou Char"/>
    <w:link w:val="Textpoznpodarou"/>
    <w:uiPriority w:val="99"/>
    <w:semiHidden/>
    <w:rsid w:val="00301DF8"/>
    <w:rPr>
      <w:lang w:val="it-IT" w:eastAsia="it-IT"/>
    </w:rPr>
  </w:style>
  <w:style w:type="character" w:styleId="Znakapoznpodarou">
    <w:name w:val="footnote reference"/>
    <w:uiPriority w:val="99"/>
    <w:semiHidden/>
    <w:unhideWhenUsed/>
    <w:rsid w:val="00301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869B-B9A4-4F68-BFC5-FBC12AF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1569</Characters>
  <Application>Microsoft Office Word</Application>
  <DocSecurity>0</DocSecurity>
  <Lines>13</Lines>
  <Paragraphs>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International Partnering Event on Health and Food</vt:lpstr>
      <vt:lpstr>International Partnering Event on Health and Food</vt:lpstr>
      <vt:lpstr>International Partnering Event on Health and Food</vt:lpstr>
    </vt:vector>
  </TitlesOfParts>
  <Company>TU Graz</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Partnering Event on Health and Food</dc:title>
  <dc:subject/>
  <dc:creator>buonocore</dc:creator>
  <cp:keywords/>
  <cp:lastModifiedBy>Jiří Pinkas</cp:lastModifiedBy>
  <cp:revision>2</cp:revision>
  <cp:lastPrinted>2003-09-08T15:44:00Z</cp:lastPrinted>
  <dcterms:created xsi:type="dcterms:W3CDTF">2021-01-08T09:04:00Z</dcterms:created>
  <dcterms:modified xsi:type="dcterms:W3CDTF">2021-01-08T09:04:00Z</dcterms:modified>
</cp:coreProperties>
</file>