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169E" w14:textId="77777777" w:rsidR="00E24EF2" w:rsidRDefault="00E24EF2" w:rsidP="007F4CF0">
      <w:pPr>
        <w:jc w:val="both"/>
        <w:rPr>
          <w:b/>
        </w:rPr>
      </w:pPr>
      <w:r w:rsidRPr="00DA03D3">
        <w:rPr>
          <w:b/>
        </w:rPr>
        <w:t xml:space="preserve">Řešení příkladu - klasifikace testovacího subjektu </w:t>
      </w:r>
      <w:r>
        <w:rPr>
          <w:b/>
        </w:rPr>
        <w:t>pomocí FLDA</w:t>
      </w:r>
      <w:r w:rsidRPr="00DA03D3">
        <w:rPr>
          <w:b/>
        </w:rPr>
        <w:t>:</w:t>
      </w:r>
    </w:p>
    <w:p w14:paraId="79EE85C2" w14:textId="2033337D" w:rsidR="007F4CF0" w:rsidRPr="00594947" w:rsidRDefault="007F4CF0" w:rsidP="007F4CF0">
      <w:pPr>
        <w:jc w:val="both"/>
      </w:pPr>
      <w:r w:rsidRPr="00594947">
        <w:t xml:space="preserve">Pro výpočet váhového vektoru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, který udává směr nadroviny, do níž budeme promítat a jež je kolmá na hranici oddělující obě skupiny, budeme potřebovat spočítat </w:t>
      </w:r>
      <w:proofErr w:type="spellStart"/>
      <w:r w:rsidRPr="00594947">
        <w:t>centroidy</w:t>
      </w:r>
      <w:proofErr w:type="spellEnd"/>
      <w:r w:rsidRPr="00594947">
        <w:t xml:space="preserve"> (vícerozměrné průměry) pro třídu pacientů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594947">
        <w:t>) a kontrol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594947">
        <w:t xml:space="preserve">) a rovněž sumu čtverců variability </w:t>
      </w:r>
      <w:r w:rsidR="009E1BFF">
        <w:t>uvnitř</w:t>
      </w:r>
      <w:r w:rsidRPr="00594947">
        <w:t xml:space="preserve"> skupin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594947">
        <w:t xml:space="preserve">) včetně její inverze. Pro výpočet matice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594947">
        <w:t xml:space="preserve"> využijeme výběrové kovarianční matice pro třídu pacientů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594947">
        <w:t>) a kontrol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594947">
        <w:t xml:space="preserve">). Centroidy a kovarianční matice jsou následující: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</m:oMath>
      <w:r w:rsidRPr="005949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5949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594947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594947">
        <w:t xml:space="preserve"> (detailní výpočet centroidů a výběrových kovariančních matic je uveden v </w:t>
      </w:r>
      <w:hyperlink r:id="rId8" w:history="1">
        <w:r w:rsidR="00E572EF" w:rsidRPr="00AF6CC1">
          <w:rPr>
            <w:rStyle w:val="Hypertextovodkaz"/>
          </w:rPr>
          <w:t>http://portal.matematickabiologie.cz/res/file/Vicerozmerky_-_kap11-2_Klasifikace_diskr_fce_-_reseni_prikladu.pdf</w:t>
        </w:r>
      </w:hyperlink>
      <w:r w:rsidRPr="00594947">
        <w:t xml:space="preserve">). Suma čtverců variability </w:t>
      </w:r>
      <w:r w:rsidR="009E1BFF">
        <w:t>uvnitř skupin</w:t>
      </w:r>
      <w:r w:rsidRPr="00594947">
        <w:t xml:space="preserve"> bude tedy spočítána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Pr="00594947">
        <w:t xml:space="preserve"> a její inverze jako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</m:oMath>
      <w:r w:rsidRPr="00594947">
        <w:t>.</w:t>
      </w:r>
    </w:p>
    <w:p w14:paraId="4E8E65ED" w14:textId="77777777" w:rsidR="007F4CF0" w:rsidRPr="00594947" w:rsidRDefault="007F4CF0" w:rsidP="007F4CF0">
      <w:pPr>
        <w:jc w:val="both"/>
      </w:pPr>
      <w:r w:rsidRPr="00594947">
        <w:t xml:space="preserve">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 poté tedy můžeme spočítat následujícím způsobem:</w:t>
      </w:r>
    </w:p>
    <w:p w14:paraId="47E91814" w14:textId="77777777" w:rsidR="007F4CF0" w:rsidRPr="00594947" w:rsidRDefault="007F4CF0" w:rsidP="007F4CF0">
      <w:pPr>
        <w:jc w:val="both"/>
      </w:pPr>
      <m:oMathPara>
        <m:oMath>
          <m:r>
            <m:rPr>
              <m:sty m:val="b"/>
            </m:rPr>
            <w:rPr>
              <w:rFonts w:ascii="Cambria Math" w:hAnsi="Cambria Math"/>
            </w:rPr>
            <m:t>w=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</m:oMath>
      </m:oMathPara>
    </w:p>
    <w:p w14:paraId="544D8F15" w14:textId="77777777" w:rsidR="007F4CF0" w:rsidRPr="00594947" w:rsidRDefault="007F4CF0" w:rsidP="007F4CF0">
      <w:pPr>
        <w:jc w:val="both"/>
      </w:pPr>
      <w:r w:rsidRPr="00594947">
        <w:t xml:space="preserve">Protože nás nezajímá modul váhového vektoru, ale jen jeho směr, můžeme váhový vektor </w:t>
      </w:r>
      <w:proofErr w:type="spellStart"/>
      <w:r w:rsidRPr="00594947">
        <w:t>přeškálovat</w:t>
      </w:r>
      <w:proofErr w:type="spellEnd"/>
      <w:r w:rsidRPr="00594947">
        <w:t xml:space="preserve"> na: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594947">
        <w:t xml:space="preserve">. Nyní můžeme vypočítat průměty </w:t>
      </w:r>
      <w:proofErr w:type="spellStart"/>
      <w:r w:rsidRPr="00594947">
        <w:t>centroidů</w:t>
      </w:r>
      <w:proofErr w:type="spellEnd"/>
      <w:r w:rsidRPr="00594947">
        <w:t xml:space="preserve"> do </w:t>
      </w:r>
      <w:r>
        <w:t>1-D</w:t>
      </w:r>
      <w:r w:rsidRPr="00594947">
        <w:t xml:space="preserve"> prostoru:</w:t>
      </w:r>
    </w:p>
    <w:p w14:paraId="3E76EDF9" w14:textId="77777777" w:rsidR="007F4CF0" w:rsidRPr="00594947" w:rsidRDefault="007F4CF0" w:rsidP="007F4CF0">
      <w:pPr>
        <w:jc w:val="both"/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>=-3+20=17</m:t>
        </m:r>
      </m:oMath>
    </w:p>
    <w:p w14:paraId="73943F06" w14:textId="77777777" w:rsidR="007F4CF0" w:rsidRPr="00594947" w:rsidRDefault="007F4CF0" w:rsidP="007F4CF0">
      <w:pPr>
        <w:jc w:val="both"/>
        <w:rPr>
          <w:i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=-4+14=10</m:t>
        </m:r>
      </m:oMath>
    </w:p>
    <w:p w14:paraId="1942B3A8" w14:textId="77777777" w:rsidR="007F4CF0" w:rsidRPr="00594947" w:rsidRDefault="007F4CF0" w:rsidP="007F4CF0">
      <w:pPr>
        <w:jc w:val="both"/>
      </w:pPr>
      <w:r w:rsidRPr="00594947">
        <w:t xml:space="preserve">A následně vypočteme průmět hraničního bodu </w:t>
      </w:r>
      <w:r>
        <w:t>do</w:t>
      </w:r>
      <w:r w:rsidRPr="00594947">
        <w:t xml:space="preserve"> </w:t>
      </w:r>
      <w:r>
        <w:t>1-D</w:t>
      </w:r>
      <w:r w:rsidRPr="00594947">
        <w:t xml:space="preserve"> prostoru: 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17+10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=13,5</m:t>
        </m:r>
      </m:oMath>
    </w:p>
    <w:p w14:paraId="2EF2EBDB" w14:textId="77777777" w:rsidR="007F4CF0" w:rsidRPr="00594947" w:rsidRDefault="007F4CF0" w:rsidP="007F4CF0">
      <w:pPr>
        <w:jc w:val="both"/>
      </w:pPr>
      <w:r w:rsidRPr="00594947">
        <w:t xml:space="preserve">Hraniční bod lze vypočítat i takto: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3-4</m:t>
                  </m:r>
                </m:e>
                <m:e>
                  <m:r>
                    <w:rPr>
                      <w:rFonts w:ascii="Cambria Math" w:hAnsi="Cambria Math"/>
                    </w:rPr>
                    <m:t>10-7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3+4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10+7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=2,25</m:t>
        </m:r>
      </m:oMath>
      <w:r w:rsidRPr="00594947">
        <w:t xml:space="preserve"> (protože jsme váhový vektor přeškálovali pomocí vynásobení šesti, musíme vynásobit šesti i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 a pak získáváme 13,5).</w:t>
      </w:r>
    </w:p>
    <w:p w14:paraId="384EF066" w14:textId="77777777" w:rsidR="007F4CF0" w:rsidRPr="00594947" w:rsidRDefault="007F4CF0" w:rsidP="007F4CF0">
      <w:pPr>
        <w:jc w:val="both"/>
      </w:pPr>
      <w:r w:rsidRPr="00594947">
        <w:t xml:space="preserve">Pokud chceme zařadit nový subjekt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3,5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594947">
        <w:t xml:space="preserve"> do jedné z daných tříd, musíme nejprve vypočítat jeho průmět do 1-D prostoru: </w:t>
      </w:r>
    </w:p>
    <w:p w14:paraId="4769499A" w14:textId="77777777" w:rsidR="007F4CF0" w:rsidRPr="00594947" w:rsidRDefault="007F4CF0" w:rsidP="007F4CF0">
      <w:pPr>
        <w:jc w:val="both"/>
        <w:rPr>
          <w:i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=-3,5+18=14,5</m:t>
        </m:r>
      </m:oMath>
    </w:p>
    <w:p w14:paraId="2D397CE7" w14:textId="77777777" w:rsidR="007F4CF0" w:rsidRPr="00594947" w:rsidRDefault="007F4CF0" w:rsidP="007F4CF0">
      <w:pPr>
        <w:jc w:val="both"/>
        <w:rPr>
          <w:i/>
        </w:rPr>
      </w:pPr>
      <w:r w:rsidRPr="00594947">
        <w:t xml:space="preserve">Průmět následně srovnáme s hraničním bodem: protože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, subjekt zařadíme do skupiny pacientů (pacienti leží napravo od hraničního bodu, protože </w:t>
      </w:r>
      <w:proofErr w:type="spellStart"/>
      <w:r w:rsidRPr="00594947">
        <w:t>centroid</w:t>
      </w:r>
      <w:proofErr w:type="spellEnd"/>
      <w:r w:rsidRPr="00594947">
        <w:t xml:space="preserve"> pacientů má větší hodnotu než hraniční bod).</w:t>
      </w:r>
    </w:p>
    <w:p w14:paraId="1179693C" w14:textId="77777777" w:rsidR="007F4CF0" w:rsidRPr="00594947" w:rsidRDefault="007F4CF0" w:rsidP="007F4CF0">
      <w:pPr>
        <w:jc w:val="both"/>
      </w:pPr>
    </w:p>
    <w:p w14:paraId="79C6E8ED" w14:textId="77777777" w:rsidR="007F4CF0" w:rsidRPr="00594947" w:rsidRDefault="007F4CF0" w:rsidP="007F4CF0">
      <w:pPr>
        <w:jc w:val="both"/>
      </w:pPr>
      <w:r w:rsidRPr="00594947">
        <w:lastRenderedPageBreak/>
        <w:t xml:space="preserve">Po výpočtu váhového vektoru a hraničního bodu můžeme určit obecnou rovnici hranice (normálou hraniční přímky je 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): </w:t>
      </w:r>
    </w:p>
    <w:p w14:paraId="5EE2CCE6" w14:textId="77777777" w:rsidR="007F4CF0" w:rsidRPr="00594947" w:rsidRDefault="006C25E5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14:paraId="3DDB76AF" w14:textId="77777777" w:rsidR="007F4CF0" w:rsidRPr="00594947" w:rsidRDefault="007F4CF0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-13,5=0</m:t>
          </m:r>
        </m:oMath>
      </m:oMathPara>
    </w:p>
    <w:p w14:paraId="2764FD54" w14:textId="77777777" w:rsidR="007F4CF0" w:rsidRPr="00594947" w:rsidRDefault="007F4CF0" w:rsidP="007F4CF0">
      <w:pPr>
        <w:jc w:val="both"/>
      </w:pPr>
      <w:r w:rsidRPr="00594947">
        <w:t xml:space="preserve">Pro vykreslení hranice je vhodné vyjádřit hranici ve tvaru: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+6,75</m:t>
        </m:r>
      </m:oMath>
    </w:p>
    <w:p w14:paraId="68574C9D" w14:textId="77777777" w:rsidR="007F4CF0" w:rsidRPr="00594947" w:rsidRDefault="007F4CF0" w:rsidP="007F4CF0">
      <w:pPr>
        <w:jc w:val="both"/>
      </w:pPr>
      <w:r w:rsidRPr="00594947">
        <w:t xml:space="preserve">Nová osa, do níž se promítá, má směr odpovídající váhovému vektoru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rPr>
          <w:b/>
        </w:rPr>
        <w:t xml:space="preserve"> </w:t>
      </w:r>
      <w:r w:rsidRPr="00594947">
        <w:t xml:space="preserve">(je kolmá k hranici) a prochází počátkem a lze ji tedy vyjádřit obecnou rovnicí jako: </w:t>
      </w:r>
    </w:p>
    <w:p w14:paraId="78231FB6" w14:textId="77777777" w:rsidR="007F4CF0" w:rsidRPr="00594947" w:rsidRDefault="006C25E5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-0=0</m:t>
          </m:r>
        </m:oMath>
      </m:oMathPara>
    </w:p>
    <w:p w14:paraId="768492E8" w14:textId="77777777" w:rsidR="007F4CF0" w:rsidRPr="00594947" w:rsidRDefault="007F4CF0" w:rsidP="007F4CF0">
      <m:oMathPara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14:paraId="5704CFFB" w14:textId="77777777" w:rsidR="007F4CF0" w:rsidRPr="00594947" w:rsidRDefault="007F4CF0" w:rsidP="007F4CF0">
      <w:pPr>
        <w:jc w:val="both"/>
      </w:pPr>
      <w:r w:rsidRPr="00594947">
        <w:t xml:space="preserve">Pokud nás zajímají souřadnice hraničního bodu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 v původním prostoru, využijeme znalosti, že hraniční bod je průsečík hranice a nové osy:</w:t>
      </w:r>
    </w:p>
    <w:p w14:paraId="6EABBA34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-13,5=0   /∙2</m:t>
          </m:r>
        </m:oMath>
      </m:oMathPara>
    </w:p>
    <w:p w14:paraId="4D135DEB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7B06D21D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w:r w:rsidRPr="00594947">
        <w:rPr>
          <w:rFonts w:eastAsiaTheme="minorEastAsia"/>
        </w:rPr>
        <w:t>-----------------------------</w:t>
      </w:r>
    </w:p>
    <w:p w14:paraId="4FB7A941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=27</m:t>
          </m:r>
        </m:oMath>
      </m:oMathPara>
    </w:p>
    <w:p w14:paraId="53E5133B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161F9880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w:r w:rsidRPr="00594947">
        <w:rPr>
          <w:rFonts w:eastAsiaTheme="minorEastAsia"/>
        </w:rPr>
        <w:t>-----------------------------</w:t>
      </w:r>
    </w:p>
    <w:p w14:paraId="552A26B6" w14:textId="77777777"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=27</m:t>
          </m:r>
        </m:oMath>
      </m:oMathPara>
    </w:p>
    <w:p w14:paraId="4D1C0782" w14:textId="77777777" w:rsidR="007F4CF0" w:rsidRPr="00594947" w:rsidRDefault="006C25E5" w:rsidP="007F4CF0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=5,4</m:t>
          </m:r>
        </m:oMath>
      </m:oMathPara>
    </w:p>
    <w:p w14:paraId="4758D593" w14:textId="77777777" w:rsidR="007F4CF0" w:rsidRPr="00594947" w:rsidRDefault="007F4CF0" w:rsidP="007F4CF0">
      <w:pPr>
        <w:jc w:val="both"/>
      </w:pPr>
      <w:r w:rsidRPr="00594947">
        <w:t xml:space="preserve">Souřadnici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94947">
        <w:t xml:space="preserve"> pak vypočítáme z první rovnice jako: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-13,5=2∙5,4-13,5=-2,7</m:t>
        </m:r>
      </m:oMath>
    </w:p>
    <w:p w14:paraId="36064FF4" w14:textId="77777777" w:rsidR="007F4CF0" w:rsidRPr="00594947" w:rsidRDefault="007F4CF0" w:rsidP="007F4CF0">
      <w:pPr>
        <w:jc w:val="both"/>
      </w:pPr>
      <w:r w:rsidRPr="00594947">
        <w:t xml:space="preserve">Souřadnice hraničního bodu v původním prostoru jsou tedy: </w:t>
      </w:r>
      <m:oMath>
        <m:acc>
          <m:accPr>
            <m:chr m:val="̃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-2,7</m:t>
                  </m:r>
                </m:e>
                <m:e>
                  <m:r>
                    <w:rPr>
                      <w:rFonts w:ascii="Cambria Math" w:hAnsi="Cambria Math"/>
                    </w:rPr>
                    <m:t>5,4</m:t>
                  </m:r>
                </m:e>
              </m:mr>
            </m:m>
          </m:e>
        </m:d>
      </m:oMath>
    </w:p>
    <w:p w14:paraId="2B361E88" w14:textId="77777777" w:rsidR="007F4CF0" w:rsidRPr="00594947" w:rsidRDefault="007F4CF0" w:rsidP="007F4CF0">
      <w:pPr>
        <w:jc w:val="both"/>
        <w:rPr>
          <w:i/>
        </w:rPr>
      </w:pPr>
      <w:r w:rsidRPr="00594947">
        <w:t xml:space="preserve">Ověření, že po projekci hraničního bodu dostanu hodnotu 13,5: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acc>
          <m:accPr>
            <m:chr m:val="̃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-2,7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5,4</m:t>
                  </m:r>
                </m:e>
              </m:mr>
            </m:m>
          </m:e>
        </m:d>
        <m:r>
          <w:rPr>
            <w:rFonts w:ascii="Cambria Math" w:hAnsi="Cambria Math"/>
          </w:rPr>
          <m:t>=2,7+10,8=13,5</m:t>
        </m:r>
      </m:oMath>
    </w:p>
    <w:p w14:paraId="563E078B" w14:textId="77777777" w:rsidR="007F4CF0" w:rsidRPr="00BA5FD2" w:rsidRDefault="007F4CF0" w:rsidP="007F4CF0">
      <w:pPr>
        <w:jc w:val="both"/>
      </w:pPr>
      <w:r w:rsidRPr="00594947">
        <w:t xml:space="preserve">Klasifikaci pomocí </w:t>
      </w:r>
      <w:proofErr w:type="spellStart"/>
      <w:r w:rsidRPr="00594947">
        <w:t>Fisherovy</w:t>
      </w:r>
      <w:proofErr w:type="spellEnd"/>
      <w:r w:rsidRPr="00594947">
        <w:t xml:space="preserve"> lineární diskriminační analýzy si na závěr znázorníme </w:t>
      </w:r>
      <w:r w:rsidRPr="00BA5FD2">
        <w:t xml:space="preserve">pomocí Obr. </w:t>
      </w:r>
      <w:r w:rsidR="00855CF0">
        <w:t>1</w:t>
      </w:r>
      <w:r w:rsidRPr="00BA5FD2">
        <w:t>.</w:t>
      </w:r>
    </w:p>
    <w:p w14:paraId="24B44BEB" w14:textId="77777777" w:rsidR="007F4CF0" w:rsidRPr="00594947" w:rsidRDefault="007F4CF0" w:rsidP="007F4CF0">
      <w:pPr>
        <w:pStyle w:val="Bezmezer"/>
        <w:spacing w:line="276" w:lineRule="auto"/>
        <w:jc w:val="both"/>
        <w:rPr>
          <w:rFonts w:eastAsiaTheme="minorEastAsia"/>
        </w:rPr>
      </w:pPr>
    </w:p>
    <w:p w14:paraId="33D149D8" w14:textId="77777777" w:rsidR="007F4CF0" w:rsidRPr="00594947" w:rsidRDefault="007F4CF0" w:rsidP="007F4CF0">
      <w:pPr>
        <w:pStyle w:val="Bezmezer"/>
        <w:spacing w:line="276" w:lineRule="auto"/>
        <w:jc w:val="center"/>
      </w:pPr>
      <w:r w:rsidRPr="00594947">
        <w:rPr>
          <w:noProof/>
          <w:lang w:eastAsia="cs-CZ"/>
        </w:rPr>
        <w:lastRenderedPageBreak/>
        <w:drawing>
          <wp:inline distT="0" distB="0" distL="0" distR="0" wp14:anchorId="5AD32D5E" wp14:editId="72804889">
            <wp:extent cx="3502025" cy="2700020"/>
            <wp:effectExtent l="0" t="0" r="0" b="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A447" w14:textId="77777777" w:rsidR="007F4CF0" w:rsidRPr="00594947" w:rsidRDefault="007F4CF0" w:rsidP="007F4CF0">
      <w:pPr>
        <w:pStyle w:val="Bezmezer"/>
        <w:spacing w:line="276" w:lineRule="auto"/>
        <w:jc w:val="center"/>
        <w:rPr>
          <w:sz w:val="20"/>
        </w:rPr>
      </w:pPr>
      <w:r w:rsidRPr="00BA5FD2">
        <w:rPr>
          <w:sz w:val="20"/>
        </w:rPr>
        <w:t xml:space="preserve">Obr. </w:t>
      </w:r>
      <w:r w:rsidR="00855CF0">
        <w:rPr>
          <w:sz w:val="20"/>
        </w:rPr>
        <w:t>1</w:t>
      </w:r>
      <w:r w:rsidRPr="00BA5FD2">
        <w:rPr>
          <w:sz w:val="20"/>
        </w:rPr>
        <w:t>. Znázornění</w:t>
      </w:r>
      <w:r w:rsidRPr="00594947">
        <w:rPr>
          <w:sz w:val="20"/>
        </w:rPr>
        <w:t xml:space="preserve"> klasifikace pomocí </w:t>
      </w:r>
      <w:proofErr w:type="spellStart"/>
      <w:r w:rsidRPr="00594947">
        <w:rPr>
          <w:sz w:val="20"/>
        </w:rPr>
        <w:t>Fisherovy</w:t>
      </w:r>
      <w:proofErr w:type="spellEnd"/>
      <w:r w:rsidRPr="00594947">
        <w:rPr>
          <w:sz w:val="20"/>
        </w:rPr>
        <w:t xml:space="preserve"> lineární diskriminační analýzy. Klasifikační hranice je znázorněna tmavě modře, nová osa, do níž se promítá, světle modře a hraniční bod je vyznačen tmavě modrým prázdným kolečkem. Původní osy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Pr="00594947">
        <w:rPr>
          <w:sz w:val="20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Pr="00594947">
        <w:rPr>
          <w:rFonts w:eastAsiaTheme="minorEastAsia"/>
          <w:sz w:val="20"/>
        </w:rPr>
        <w:t xml:space="preserve"> odpovídající dvěma proměnným (objemu hipokampu a mozkových komor) jsou znázorněny čárkovanými čarami.</w:t>
      </w:r>
    </w:p>
    <w:p w14:paraId="564D3C91" w14:textId="77777777" w:rsidR="007F4CF0" w:rsidRPr="00594947" w:rsidRDefault="007F4CF0" w:rsidP="007F4CF0">
      <w:pPr>
        <w:pStyle w:val="Bezmezer"/>
        <w:spacing w:line="276" w:lineRule="auto"/>
        <w:jc w:val="both"/>
      </w:pPr>
    </w:p>
    <w:p w14:paraId="6C195B6B" w14:textId="77777777" w:rsidR="007F4CF0" w:rsidRPr="00594947" w:rsidRDefault="007F4CF0" w:rsidP="007F4CF0">
      <w:pPr>
        <w:jc w:val="both"/>
      </w:pPr>
    </w:p>
    <w:p w14:paraId="23D5026C" w14:textId="77777777" w:rsidR="007F4CF0" w:rsidRPr="00594947" w:rsidRDefault="007F4CF0" w:rsidP="007F4CF0">
      <w:pPr>
        <w:jc w:val="both"/>
      </w:pPr>
      <w:r w:rsidRPr="00594947">
        <w:t xml:space="preserve">Poznámka: Pokud bychom váhový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594947">
        <w:t xml:space="preserve"> znormovali,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 w:rsidRPr="00594947">
        <w:t xml:space="preserve"> by přímo ležel ve vzdálenosti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 w:rsidRPr="00594947">
        <w:rPr>
          <w:rFonts w:eastAsiaTheme="minorEastAsia"/>
        </w:rPr>
        <w:t xml:space="preserve"> </w:t>
      </w:r>
      <w:r w:rsidRPr="00594947">
        <w:t>od počátku:</w:t>
      </w:r>
    </w:p>
    <w:p w14:paraId="3DCAA81A" w14:textId="77777777" w:rsidR="007F4CF0" w:rsidRPr="00594947" w:rsidRDefault="007F4CF0" w:rsidP="007F4CF0">
      <w:pPr>
        <w:jc w:val="both"/>
        <w:rPr>
          <w:rFonts w:eastAsiaTheme="minorEastAsia"/>
          <w:i/>
        </w:rPr>
      </w:pPr>
      <w:r w:rsidRPr="00594947"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w=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-0,447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0,894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229FB022" w14:textId="77777777" w:rsidR="007F4CF0" w:rsidRPr="00594947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6334D527" w14:textId="77777777" w:rsidR="007F4CF0" w:rsidRPr="00594947" w:rsidRDefault="007F4CF0" w:rsidP="007F4CF0">
      <w:pPr>
        <w:jc w:val="both"/>
        <w:rPr>
          <w:i/>
        </w:rPr>
      </w:pPr>
      <w:r w:rsidRPr="005949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7CE219F9" w14:textId="77777777" w:rsidR="007F4CF0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=6,04</m:t>
        </m:r>
      </m:oMath>
      <w:r w:rsidRPr="00594947">
        <w:rPr>
          <w:rFonts w:eastAsiaTheme="minorEastAsia"/>
          <w:i/>
        </w:rPr>
        <w:t xml:space="preserve"> </w:t>
      </w:r>
      <w:r w:rsidRPr="00594947">
        <w:rPr>
          <w:rFonts w:eastAsiaTheme="minorEastAsia"/>
        </w:rPr>
        <w:t xml:space="preserve">(tzn.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leží ve vzdálenosti 6,04 od počátku</w:t>
      </w:r>
      <w:r w:rsidRPr="00594947">
        <w:rPr>
          <w:rFonts w:eastAsiaTheme="minorEastAsia"/>
        </w:rPr>
        <w:t xml:space="preserve"> v původních souřadnicích)</w:t>
      </w:r>
      <w:r>
        <w:rPr>
          <w:rFonts w:eastAsiaTheme="minorEastAsia"/>
        </w:rPr>
        <w:t>.</w:t>
      </w:r>
    </w:p>
    <w:p w14:paraId="090B5960" w14:textId="77777777" w:rsidR="007F4CF0" w:rsidRDefault="007F4CF0" w:rsidP="007F4CF0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p w14:paraId="13706B5B" w14:textId="77777777" w:rsidR="003B4962" w:rsidRDefault="003B4962"/>
    <w:sectPr w:rsidR="003B49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74AA" w14:textId="77777777" w:rsidR="006C25E5" w:rsidRDefault="006C25E5" w:rsidP="00E572EF">
      <w:pPr>
        <w:spacing w:after="0" w:line="240" w:lineRule="auto"/>
      </w:pPr>
      <w:r>
        <w:separator/>
      </w:r>
    </w:p>
  </w:endnote>
  <w:endnote w:type="continuationSeparator" w:id="0">
    <w:p w14:paraId="758BB295" w14:textId="77777777" w:rsidR="006C25E5" w:rsidRDefault="006C25E5" w:rsidP="00E5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14F" w14:textId="77777777" w:rsidR="006C25E5" w:rsidRDefault="006C25E5" w:rsidP="00E572EF">
      <w:pPr>
        <w:spacing w:after="0" w:line="240" w:lineRule="auto"/>
      </w:pPr>
      <w:r>
        <w:separator/>
      </w:r>
    </w:p>
  </w:footnote>
  <w:footnote w:type="continuationSeparator" w:id="0">
    <w:p w14:paraId="5C95029D" w14:textId="77777777" w:rsidR="006C25E5" w:rsidRDefault="006C25E5" w:rsidP="00E5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55C" w14:textId="77777777" w:rsidR="00E572EF" w:rsidRDefault="00E572EF" w:rsidP="00E572EF">
    <w:pPr>
      <w:pStyle w:val="Zhlav"/>
    </w:pPr>
    <w:r w:rsidRPr="00DA03D3">
      <w:rPr>
        <w:color w:val="A6A6A6" w:themeColor="background1" w:themeShade="A6"/>
      </w:rPr>
      <w:t>Vícerozměrné metody pro analýzu a klasifikaci dat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Pr="00DA03D3">
      <w:rPr>
        <w:color w:val="A6A6A6" w:themeColor="background1" w:themeShade="A6"/>
      </w:rPr>
      <w:t>Řešení příkladu –</w:t>
    </w:r>
    <w:r>
      <w:rPr>
        <w:color w:val="A6A6A6" w:themeColor="background1" w:themeShade="A6"/>
      </w:rPr>
      <w:t xml:space="preserve"> FLDA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8B4"/>
    <w:multiLevelType w:val="hybridMultilevel"/>
    <w:tmpl w:val="2CBC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D10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3363C8"/>
    <w:multiLevelType w:val="hybridMultilevel"/>
    <w:tmpl w:val="7214CA72"/>
    <w:lvl w:ilvl="0" w:tplc="F8E653BA">
      <w:start w:val="1"/>
      <w:numFmt w:val="decimal"/>
      <w:lvlText w:val="[%1]  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45F"/>
    <w:multiLevelType w:val="hybridMultilevel"/>
    <w:tmpl w:val="B9B0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B68"/>
    <w:multiLevelType w:val="hybridMultilevel"/>
    <w:tmpl w:val="EEE8FD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455C75"/>
    <w:multiLevelType w:val="multilevel"/>
    <w:tmpl w:val="A7CCBF3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717"/>
    <w:multiLevelType w:val="multilevel"/>
    <w:tmpl w:val="3364DF0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F5232D5"/>
    <w:multiLevelType w:val="hybridMultilevel"/>
    <w:tmpl w:val="C704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C19D4"/>
    <w:multiLevelType w:val="hybridMultilevel"/>
    <w:tmpl w:val="4A6E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C499F"/>
    <w:multiLevelType w:val="hybridMultilevel"/>
    <w:tmpl w:val="67B0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41C3B"/>
    <w:multiLevelType w:val="multilevel"/>
    <w:tmpl w:val="55E6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7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0"/>
    <w:rsid w:val="000F17F0"/>
    <w:rsid w:val="001326E8"/>
    <w:rsid w:val="00165478"/>
    <w:rsid w:val="003B4962"/>
    <w:rsid w:val="006C25E5"/>
    <w:rsid w:val="007F4CF0"/>
    <w:rsid w:val="00855CF0"/>
    <w:rsid w:val="009E1BFF"/>
    <w:rsid w:val="00E24EF2"/>
    <w:rsid w:val="00E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8E177"/>
  <w15:chartTrackingRefBased/>
  <w15:docId w15:val="{2F71745A-3197-423D-9A5A-A650600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CF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F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Zstupntext">
    <w:name w:val="Placeholder Text"/>
    <w:basedOn w:val="Standardnpsmoodstavce"/>
    <w:uiPriority w:val="99"/>
    <w:semiHidden/>
    <w:rsid w:val="007F4CF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C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F4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C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F4CF0"/>
    <w:pPr>
      <w:ind w:left="720"/>
      <w:contextualSpacing/>
    </w:pPr>
  </w:style>
  <w:style w:type="paragraph" w:styleId="Bezmezer">
    <w:name w:val="No Spacing"/>
    <w:uiPriority w:val="1"/>
    <w:qFormat/>
    <w:rsid w:val="007F4C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7F4CF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F4CF0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CF0"/>
  </w:style>
  <w:style w:type="paragraph" w:styleId="Zpat">
    <w:name w:val="footer"/>
    <w:basedOn w:val="Normln"/>
    <w:link w:val="Zpat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CF0"/>
  </w:style>
  <w:style w:type="paragraph" w:customStyle="1" w:styleId="reference">
    <w:name w:val="reference"/>
    <w:basedOn w:val="Normln"/>
    <w:rsid w:val="007F4CF0"/>
    <w:pPr>
      <w:spacing w:after="0" w:line="240" w:lineRule="auto"/>
      <w:ind w:left="227" w:hanging="227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4CF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F4C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4CF0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atematickabiologie.cz/res/file/Vicerozmerky_-_kap11-2_Klasifikace_diskr_fce_-_reseni_priklad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8109F84-2B09-46D0-85C2-1CAA11D1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Koritakova</dc:creator>
  <cp:keywords/>
  <dc:description/>
  <cp:lastModifiedBy>Tereza Jurková</cp:lastModifiedBy>
  <cp:revision>8</cp:revision>
  <dcterms:created xsi:type="dcterms:W3CDTF">2016-11-01T18:20:00Z</dcterms:created>
  <dcterms:modified xsi:type="dcterms:W3CDTF">2021-10-20T08:10:00Z</dcterms:modified>
</cp:coreProperties>
</file>