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98C" w:rsidRPr="002B498C" w:rsidRDefault="00A62172" w:rsidP="002B498C">
      <w:pPr>
        <w:spacing w:line="360" w:lineRule="auto"/>
        <w:jc w:val="center"/>
        <w:rPr>
          <w:b/>
          <w:sz w:val="28"/>
          <w:szCs w:val="28"/>
          <w:lang w:val="en-US"/>
        </w:rPr>
      </w:pPr>
      <w:bookmarkStart w:id="0" w:name="_GoBack"/>
      <w:r>
        <w:rPr>
          <w:b/>
          <w:sz w:val="28"/>
          <w:szCs w:val="28"/>
          <w:lang w:val="en-US"/>
        </w:rPr>
        <w:t>Study of Photochemistry</w:t>
      </w:r>
      <w:r w:rsidR="00A731CC">
        <w:rPr>
          <w:b/>
          <w:sz w:val="28"/>
          <w:szCs w:val="28"/>
          <w:lang w:val="en-US"/>
        </w:rPr>
        <w:t xml:space="preserve"> and Mechanisms</w:t>
      </w:r>
      <w:r w:rsidR="00A420CA">
        <w:rPr>
          <w:b/>
          <w:sz w:val="28"/>
          <w:szCs w:val="28"/>
          <w:lang w:val="en-US"/>
        </w:rPr>
        <w:t xml:space="preserve"> </w:t>
      </w:r>
      <w:r>
        <w:rPr>
          <w:b/>
          <w:sz w:val="28"/>
          <w:szCs w:val="28"/>
          <w:lang w:val="en-US"/>
        </w:rPr>
        <w:t>of Photoactivatable Compounds</w:t>
      </w:r>
      <w:bookmarkEnd w:id="0"/>
    </w:p>
    <w:p w:rsidR="00EF10E6" w:rsidRDefault="00EF10E6" w:rsidP="00EF10E6">
      <w:pPr>
        <w:jc w:val="center"/>
        <w:rPr>
          <w:lang w:val="en-GB"/>
        </w:rPr>
      </w:pPr>
      <w:r w:rsidRPr="00B75164">
        <w:rPr>
          <w:u w:val="single"/>
          <w:lang w:val="en-GB"/>
        </w:rPr>
        <w:t>Dominik Madea</w:t>
      </w:r>
      <w:r w:rsidRPr="00B75164">
        <w:rPr>
          <w:lang w:val="en-GB"/>
        </w:rPr>
        <w:t>,</w:t>
      </w:r>
      <w:r w:rsidRPr="00B75164">
        <w:rPr>
          <w:vertAlign w:val="superscript"/>
          <w:lang w:val="en-GB"/>
        </w:rPr>
        <w:t>1</w:t>
      </w:r>
      <w:r>
        <w:rPr>
          <w:vertAlign w:val="superscript"/>
          <w:lang w:val="en-GB"/>
        </w:rPr>
        <w:t>)</w:t>
      </w:r>
      <w:r w:rsidRPr="00B75164">
        <w:rPr>
          <w:lang w:val="en-GB"/>
        </w:rPr>
        <w:t xml:space="preserve"> Jiří Janoš,</w:t>
      </w:r>
      <w:r>
        <w:rPr>
          <w:vertAlign w:val="superscript"/>
          <w:lang w:val="en-GB"/>
        </w:rPr>
        <w:t>2)</w:t>
      </w:r>
      <w:r w:rsidRPr="00A62172">
        <w:rPr>
          <w:lang w:val="en-GB"/>
        </w:rPr>
        <w:t xml:space="preserve"> </w:t>
      </w:r>
      <w:r w:rsidRPr="00B75164">
        <w:rPr>
          <w:lang w:val="en-GB"/>
        </w:rPr>
        <w:t>Taufiqueahmed Mujawar,</w:t>
      </w:r>
      <w:r w:rsidRPr="00B75164">
        <w:rPr>
          <w:vertAlign w:val="superscript"/>
          <w:lang w:val="en-GB"/>
        </w:rPr>
        <w:t>1</w:t>
      </w:r>
      <w:r>
        <w:rPr>
          <w:vertAlign w:val="superscript"/>
          <w:lang w:val="en-GB"/>
        </w:rPr>
        <w:t>)</w:t>
      </w:r>
      <w:r w:rsidRPr="00A62172">
        <w:rPr>
          <w:lang w:val="en-GB"/>
        </w:rPr>
        <w:t xml:space="preserve"> </w:t>
      </w:r>
      <w:r>
        <w:rPr>
          <w:lang w:val="en-GB"/>
        </w:rPr>
        <w:t>Marek Martínek,</w:t>
      </w:r>
      <w:r w:rsidRPr="00B75164">
        <w:rPr>
          <w:vertAlign w:val="superscript"/>
          <w:lang w:val="en-GB"/>
        </w:rPr>
        <w:t>1</w:t>
      </w:r>
      <w:r>
        <w:rPr>
          <w:vertAlign w:val="superscript"/>
          <w:lang w:val="en-GB"/>
        </w:rPr>
        <w:t>)</w:t>
      </w:r>
      <w:r w:rsidRPr="00B75164">
        <w:rPr>
          <w:lang w:val="en-GB"/>
        </w:rPr>
        <w:t xml:space="preserve"> Aleš Dvořák,</w:t>
      </w:r>
      <w:r>
        <w:rPr>
          <w:vertAlign w:val="superscript"/>
          <w:lang w:val="en-GB"/>
        </w:rPr>
        <w:t>3)</w:t>
      </w:r>
      <w:r w:rsidRPr="00B75164">
        <w:rPr>
          <w:lang w:val="en-GB"/>
        </w:rPr>
        <w:t xml:space="preserve"> Lucie Muchová,</w:t>
      </w:r>
      <w:r>
        <w:rPr>
          <w:vertAlign w:val="superscript"/>
          <w:lang w:val="en-GB"/>
        </w:rPr>
        <w:t>3)</w:t>
      </w:r>
      <w:r w:rsidRPr="00B75164">
        <w:rPr>
          <w:lang w:val="en-GB"/>
        </w:rPr>
        <w:t xml:space="preserve"> </w:t>
      </w:r>
      <w:r w:rsidRPr="00A42408">
        <w:t>Petra Čubáková,</w:t>
      </w:r>
      <w:r w:rsidRPr="00D00695">
        <w:rPr>
          <w:vertAlign w:val="superscript"/>
        </w:rPr>
        <w:t>4</w:t>
      </w:r>
      <w:r>
        <w:rPr>
          <w:vertAlign w:val="superscript"/>
          <w:lang w:val="en-GB"/>
        </w:rPr>
        <w:t>)</w:t>
      </w:r>
      <w:r w:rsidRPr="00A42408">
        <w:t xml:space="preserve"> Miroslav Kloz,</w:t>
      </w:r>
      <w:r>
        <w:rPr>
          <w:iCs/>
          <w:vertAlign w:val="superscript"/>
        </w:rPr>
        <w:t>4</w:t>
      </w:r>
      <w:r>
        <w:rPr>
          <w:vertAlign w:val="superscript"/>
          <w:lang w:val="en-GB"/>
        </w:rPr>
        <w:t>)</w:t>
      </w:r>
      <w:r w:rsidRPr="00A42408">
        <w:t xml:space="preserve"> </w:t>
      </w:r>
      <w:r w:rsidRPr="00B75164">
        <w:rPr>
          <w:lang w:val="en-GB"/>
        </w:rPr>
        <w:t>Petr Slavíček,</w:t>
      </w:r>
      <w:r>
        <w:rPr>
          <w:vertAlign w:val="superscript"/>
          <w:lang w:val="en-GB"/>
        </w:rPr>
        <w:t>2)</w:t>
      </w:r>
      <w:r w:rsidRPr="00B75164">
        <w:rPr>
          <w:lang w:val="en-GB"/>
        </w:rPr>
        <w:t xml:space="preserve"> </w:t>
      </w:r>
      <w:r>
        <w:rPr>
          <w:lang w:val="en-GB"/>
        </w:rPr>
        <w:t xml:space="preserve">Jiří </w:t>
      </w:r>
      <w:proofErr w:type="spellStart"/>
      <w:r>
        <w:rPr>
          <w:lang w:val="en-GB"/>
        </w:rPr>
        <w:t>Váňa</w:t>
      </w:r>
      <w:proofErr w:type="spellEnd"/>
      <w:r>
        <w:rPr>
          <w:lang w:val="en-GB"/>
        </w:rPr>
        <w:t>,</w:t>
      </w:r>
      <w:r>
        <w:rPr>
          <w:iCs/>
          <w:vertAlign w:val="superscript"/>
        </w:rPr>
        <w:t>5</w:t>
      </w:r>
      <w:r>
        <w:rPr>
          <w:vertAlign w:val="superscript"/>
          <w:lang w:val="en-GB"/>
        </w:rPr>
        <w:t>)</w:t>
      </w:r>
      <w:r>
        <w:rPr>
          <w:lang w:val="en-GB"/>
        </w:rPr>
        <w:t xml:space="preserve"> </w:t>
      </w:r>
      <w:r w:rsidRPr="00B75164">
        <w:rPr>
          <w:lang w:val="en-GB"/>
        </w:rPr>
        <w:t>Jakub Švenda,</w:t>
      </w:r>
      <w:r w:rsidRPr="00B75164">
        <w:rPr>
          <w:vertAlign w:val="superscript"/>
          <w:lang w:val="en-GB"/>
        </w:rPr>
        <w:t>1</w:t>
      </w:r>
      <w:r>
        <w:rPr>
          <w:vertAlign w:val="superscript"/>
          <w:lang w:val="en-GB"/>
        </w:rPr>
        <w:t>)</w:t>
      </w:r>
      <w:r w:rsidRPr="00B75164">
        <w:rPr>
          <w:lang w:val="en-GB"/>
        </w:rPr>
        <w:t xml:space="preserve"> Libor Vítek,</w:t>
      </w:r>
      <w:r w:rsidRPr="00B75164">
        <w:rPr>
          <w:vertAlign w:val="superscript"/>
          <w:lang w:val="en-GB"/>
        </w:rPr>
        <w:t>3</w:t>
      </w:r>
      <w:r>
        <w:rPr>
          <w:vertAlign w:val="superscript"/>
          <w:lang w:val="en-GB"/>
        </w:rPr>
        <w:t>)</w:t>
      </w:r>
      <w:r w:rsidRPr="00A62172">
        <w:rPr>
          <w:lang w:val="en-GB"/>
        </w:rPr>
        <w:t xml:space="preserve"> </w:t>
      </w:r>
      <w:r w:rsidRPr="00B75164">
        <w:rPr>
          <w:lang w:val="en-GB"/>
        </w:rPr>
        <w:t>Petr Klán</w:t>
      </w:r>
      <w:r w:rsidRPr="00B75164">
        <w:rPr>
          <w:vertAlign w:val="superscript"/>
          <w:lang w:val="en-GB"/>
        </w:rPr>
        <w:t>1</w:t>
      </w:r>
      <w:r>
        <w:rPr>
          <w:vertAlign w:val="superscript"/>
          <w:lang w:val="en-GB"/>
        </w:rPr>
        <w:t>)</w:t>
      </w:r>
    </w:p>
    <w:p w:rsidR="00EF10E6" w:rsidRPr="00B75164" w:rsidRDefault="00EF10E6" w:rsidP="00EF10E6">
      <w:pPr>
        <w:jc w:val="center"/>
        <w:rPr>
          <w:vertAlign w:val="superscript"/>
          <w:lang w:val="en-GB"/>
        </w:rPr>
      </w:pPr>
    </w:p>
    <w:p w:rsidR="00AB5425" w:rsidRDefault="00EF10E6" w:rsidP="00EF10E6">
      <w:pPr>
        <w:spacing w:line="360" w:lineRule="auto"/>
        <w:jc w:val="center"/>
        <w:rPr>
          <w:iCs/>
          <w:lang w:val="cs-CZ"/>
        </w:rPr>
      </w:pPr>
      <w:r w:rsidRPr="00B75164">
        <w:rPr>
          <w:vertAlign w:val="superscript"/>
          <w:lang w:val="en-GB"/>
        </w:rPr>
        <w:t>1)</w:t>
      </w:r>
      <w:r w:rsidRPr="00B75164">
        <w:rPr>
          <w:lang w:val="en-GB"/>
        </w:rPr>
        <w:t xml:space="preserve"> Department of Chemistry and RECETOX, Faculty of Science, Masaryk University,</w:t>
      </w:r>
      <w:r>
        <w:rPr>
          <w:lang w:val="en-GB"/>
        </w:rPr>
        <w:t xml:space="preserve"> </w:t>
      </w:r>
      <w:proofErr w:type="spellStart"/>
      <w:r w:rsidRPr="00B75164">
        <w:rPr>
          <w:lang w:val="en-GB"/>
        </w:rPr>
        <w:t>Kamenice</w:t>
      </w:r>
      <w:proofErr w:type="spellEnd"/>
      <w:r w:rsidRPr="00B75164">
        <w:rPr>
          <w:lang w:val="en-GB"/>
        </w:rPr>
        <w:t xml:space="preserve"> 5/A8, 625 00 Brno, Czech Republic</w:t>
      </w:r>
      <w:r w:rsidR="00A420CA">
        <w:rPr>
          <w:lang w:val="en-GB"/>
        </w:rPr>
        <w:t xml:space="preserve">. </w:t>
      </w:r>
      <w:r>
        <w:rPr>
          <w:vertAlign w:val="superscript"/>
          <w:lang w:val="en-GB"/>
        </w:rPr>
        <w:t>2</w:t>
      </w:r>
      <w:r w:rsidRPr="00B75164">
        <w:rPr>
          <w:vertAlign w:val="superscript"/>
          <w:lang w:val="en-GB"/>
        </w:rPr>
        <w:t>)</w:t>
      </w:r>
      <w:r w:rsidRPr="00B75164">
        <w:rPr>
          <w:lang w:val="en-GB"/>
        </w:rPr>
        <w:t xml:space="preserve"> </w:t>
      </w:r>
      <w:r w:rsidRPr="00616F31">
        <w:rPr>
          <w:iCs/>
          <w:lang w:val="cs-CZ"/>
        </w:rPr>
        <w:t xml:space="preserve">Department of </w:t>
      </w:r>
      <w:proofErr w:type="spellStart"/>
      <w:r w:rsidRPr="00616F31">
        <w:rPr>
          <w:iCs/>
          <w:lang w:val="cs-CZ"/>
        </w:rPr>
        <w:t>Physical</w:t>
      </w:r>
      <w:proofErr w:type="spellEnd"/>
      <w:r w:rsidRPr="00616F31">
        <w:rPr>
          <w:iCs/>
          <w:lang w:val="cs-CZ"/>
        </w:rPr>
        <w:t xml:space="preserve"> Chemistry, University of Chemistry and Technology, Technická 5, 16628 Prague 6, Czech Republic.</w:t>
      </w:r>
    </w:p>
    <w:p w:rsidR="00EF10E6" w:rsidRPr="00B75164" w:rsidRDefault="00EF10E6" w:rsidP="00EF10E6">
      <w:pPr>
        <w:spacing w:line="360" w:lineRule="auto"/>
        <w:jc w:val="center"/>
        <w:rPr>
          <w:lang w:val="en-GB"/>
        </w:rPr>
      </w:pPr>
      <w:r>
        <w:rPr>
          <w:vertAlign w:val="superscript"/>
          <w:lang w:val="en-GB"/>
        </w:rPr>
        <w:t>3</w:t>
      </w:r>
      <w:r w:rsidRPr="00B75164">
        <w:rPr>
          <w:vertAlign w:val="superscript"/>
          <w:lang w:val="en-GB"/>
        </w:rPr>
        <w:t xml:space="preserve">) </w:t>
      </w:r>
      <w:r w:rsidRPr="00B75164">
        <w:rPr>
          <w:lang w:val="en-GB"/>
        </w:rPr>
        <w:t>Institute of Medical Biochemistry and Laboratory Diagnostics, 1</w:t>
      </w:r>
      <w:r w:rsidRPr="00B75164">
        <w:rPr>
          <w:vertAlign w:val="superscript"/>
          <w:lang w:val="en-GB"/>
        </w:rPr>
        <w:t>st</w:t>
      </w:r>
      <w:r w:rsidRPr="00B75164">
        <w:rPr>
          <w:lang w:val="en-GB"/>
        </w:rPr>
        <w:t xml:space="preserve"> Faculty of Medicine, Charles University, Na </w:t>
      </w:r>
      <w:proofErr w:type="spellStart"/>
      <w:r w:rsidRPr="00B75164">
        <w:rPr>
          <w:lang w:val="en-GB"/>
        </w:rPr>
        <w:t>Bojišti</w:t>
      </w:r>
      <w:proofErr w:type="spellEnd"/>
      <w:r w:rsidRPr="00B75164">
        <w:rPr>
          <w:lang w:val="en-GB"/>
        </w:rPr>
        <w:t xml:space="preserve"> 3, 121 08 Praha 2, Czech Republic</w:t>
      </w:r>
      <w:r>
        <w:rPr>
          <w:lang w:val="en-GB"/>
        </w:rPr>
        <w:t>.</w:t>
      </w:r>
      <w:r w:rsidRPr="00B75164">
        <w:rPr>
          <w:vertAlign w:val="superscript"/>
          <w:lang w:val="en-GB"/>
        </w:rPr>
        <w:t xml:space="preserve"> </w:t>
      </w:r>
      <w:r>
        <w:rPr>
          <w:vertAlign w:val="superscript"/>
          <w:lang w:val="en-GB"/>
        </w:rPr>
        <w:t xml:space="preserve">4) </w:t>
      </w:r>
      <w:r w:rsidRPr="00A42408">
        <w:t>Institute of Physics of the Czech Academy of Sciences, ELI Beamlines, Za Radnicí 835, 252 41 Dolní Břežany, Czech Republic</w:t>
      </w:r>
      <w:r>
        <w:t>.</w:t>
      </w:r>
      <w:r w:rsidRPr="00812A6A">
        <w:rPr>
          <w:vertAlign w:val="superscript"/>
          <w:lang w:val="en-GB"/>
        </w:rPr>
        <w:t xml:space="preserve"> </w:t>
      </w:r>
      <w:r>
        <w:rPr>
          <w:vertAlign w:val="superscript"/>
          <w:lang w:val="en-GB"/>
        </w:rPr>
        <w:t>5)</w:t>
      </w:r>
      <w:r w:rsidRPr="00567EC0">
        <w:t xml:space="preserve"> </w:t>
      </w:r>
      <w:r w:rsidRPr="004B7F23">
        <w:t>Institute of Organic Chemistry and Technology, Faculty of Chemical Technology, University of Pardubice, Studentská 573, 532 10 Pardubice, Czech Republic</w:t>
      </w:r>
    </w:p>
    <w:p w:rsidR="00F1332C" w:rsidRDefault="00F1332C" w:rsidP="00F1332C">
      <w:pPr>
        <w:spacing w:line="360" w:lineRule="auto"/>
        <w:jc w:val="center"/>
        <w:rPr>
          <w:lang w:val="en-GB"/>
        </w:rPr>
      </w:pPr>
    </w:p>
    <w:p w:rsidR="000D103F" w:rsidRDefault="00CE37EA" w:rsidP="000D103F">
      <w:pPr>
        <w:spacing w:line="360" w:lineRule="auto"/>
        <w:ind w:firstLine="708"/>
        <w:jc w:val="both"/>
        <w:rPr>
          <w:bCs/>
        </w:rPr>
      </w:pPr>
      <w:r>
        <w:t>The work consist of two separate projects. In the first project, s</w:t>
      </w:r>
      <w:r w:rsidRPr="00695D01">
        <w:t xml:space="preserve">ynthesis, optical properties and study of the sensing mechanism of </w:t>
      </w:r>
      <w:r w:rsidRPr="00695D01">
        <w:rPr>
          <w:bCs/>
        </w:rPr>
        <w:t xml:space="preserve">Nile-red Pd-based </w:t>
      </w:r>
      <w:r>
        <w:rPr>
          <w:bCs/>
        </w:rPr>
        <w:t>carbon monoxide</w:t>
      </w:r>
      <w:r w:rsidRPr="00695D01">
        <w:rPr>
          <w:bCs/>
        </w:rPr>
        <w:t xml:space="preserve"> </w:t>
      </w:r>
      <w:r>
        <w:rPr>
          <w:bCs/>
        </w:rPr>
        <w:t xml:space="preserve">(CO) </w:t>
      </w:r>
      <w:r w:rsidRPr="00695D01">
        <w:rPr>
          <w:bCs/>
        </w:rPr>
        <w:t>chemosensor</w:t>
      </w:r>
      <w:r>
        <w:rPr>
          <w:bCs/>
        </w:rPr>
        <w:t>s</w:t>
      </w:r>
      <w:r w:rsidRPr="00695D01">
        <w:rPr>
          <w:bCs/>
        </w:rPr>
        <w:t>,</w:t>
      </w:r>
      <w:r>
        <w:rPr>
          <w:bCs/>
        </w:rPr>
        <w:t>[1]</w:t>
      </w:r>
      <w:r w:rsidRPr="00695D01">
        <w:rPr>
          <w:bCs/>
        </w:rPr>
        <w:t xml:space="preserve"> structurally modified by core and bridge substituents, in methanol and aqueous solutions are reported.</w:t>
      </w:r>
      <w:r>
        <w:rPr>
          <w:bCs/>
        </w:rPr>
        <w:t xml:space="preserve"> </w:t>
      </w:r>
      <w:r w:rsidR="000D103F">
        <w:t>CO</w:t>
      </w:r>
      <w:r w:rsidRPr="00695D01">
        <w:t xml:space="preserve"> is a cell-signaling molecule (gasotransmitter)</w:t>
      </w:r>
      <w:r>
        <w:t>[2]</w:t>
      </w:r>
      <w:r w:rsidRPr="00695D01">
        <w:t xml:space="preserve"> produced endogenously by oxidative catabolism of heme, and its spatial and temporal sensing at the cellular level is still an open challenge.</w:t>
      </w:r>
      <w:r>
        <w:t>[3]</w:t>
      </w:r>
      <w:r w:rsidRPr="00695D01">
        <w:t xml:space="preserve"> </w:t>
      </w:r>
      <w:r w:rsidRPr="00695D01">
        <w:rPr>
          <w:bCs/>
        </w:rPr>
        <w:t>The</w:t>
      </w:r>
      <w:r>
        <w:rPr>
          <w:bCs/>
        </w:rPr>
        <w:t xml:space="preserve"> fluorescence of the </w:t>
      </w:r>
      <w:r w:rsidRPr="00695D01">
        <w:rPr>
          <w:bCs/>
        </w:rPr>
        <w:t>“off-on” palladacycle-based sensors</w:t>
      </w:r>
      <w:r>
        <w:rPr>
          <w:bCs/>
        </w:rPr>
        <w:t xml:space="preserve"> </w:t>
      </w:r>
      <w:r w:rsidRPr="00695D01">
        <w:rPr>
          <w:bCs/>
        </w:rPr>
        <w:t>arises from their reaction with CO to release the corresponding highly fluorescent Nile red derivatives in the final step. Our kinetic study showed that electron-withdrawing and electron-donating core substituents affect a rate-determining step of the reaction. More importantly, the substituents were found to have a substantial effect on the Nile red sensor fluorescence quantum yields, hereby defining the sensing detection limit.</w:t>
      </w:r>
      <w:r w:rsidR="000D103F">
        <w:rPr>
          <w:bCs/>
          <w:lang w:val="en-US"/>
        </w:rPr>
        <w:t xml:space="preserve"> </w:t>
      </w:r>
      <w:r w:rsidR="000D103F" w:rsidRPr="00695D01">
        <w:rPr>
          <w:bCs/>
        </w:rPr>
        <w:t>The highest overall fluorescence and sensing rate enhancements were found for a 2-hydroxy palladacycle derivative, which was used in subsequent biological studies on mouse hepatoma cells as it easily crosses the cell membrane and qualitatively traces localization of CO within the intracellular compartment with the linear quantitative response to increasing CO concentrations.</w:t>
      </w:r>
      <w:r w:rsidR="000D103F">
        <w:rPr>
          <w:bCs/>
          <w:lang w:val="en-US"/>
        </w:rPr>
        <w:t>[4]</w:t>
      </w:r>
    </w:p>
    <w:p w:rsidR="00812A6A" w:rsidRDefault="00CE37EA" w:rsidP="00812A6A">
      <w:pPr>
        <w:spacing w:line="360" w:lineRule="auto"/>
        <w:ind w:firstLine="708"/>
        <w:jc w:val="both"/>
        <w:rPr>
          <w:lang w:val="en-GB"/>
        </w:rPr>
      </w:pPr>
      <w:r>
        <w:rPr>
          <w:bCs/>
        </w:rPr>
        <w:t xml:space="preserve">In the second project, </w:t>
      </w:r>
      <w:r w:rsidR="009878E6">
        <w:rPr>
          <w:bCs/>
        </w:rPr>
        <w:t xml:space="preserve">the photochemistry of </w:t>
      </w:r>
      <w:r>
        <w:rPr>
          <w:bCs/>
        </w:rPr>
        <w:t>bilirubin</w:t>
      </w:r>
      <w:r w:rsidR="000D103F">
        <w:rPr>
          <w:bCs/>
        </w:rPr>
        <w:t xml:space="preserve"> (BR)</w:t>
      </w:r>
      <w:r>
        <w:rPr>
          <w:bCs/>
        </w:rPr>
        <w:t xml:space="preserve"> dipyrrinone subunits</w:t>
      </w:r>
      <w:r w:rsidR="009878E6">
        <w:rPr>
          <w:bCs/>
        </w:rPr>
        <w:t xml:space="preserve"> </w:t>
      </w:r>
      <w:r w:rsidR="009878E6">
        <w:rPr>
          <w:lang w:val="en-US"/>
        </w:rPr>
        <w:t>(</w:t>
      </w:r>
      <w:r w:rsidR="009878E6" w:rsidRPr="00006BF0">
        <w:rPr>
          <w:b/>
          <w:bCs/>
          <w:lang w:val="en-US"/>
        </w:rPr>
        <w:t>1</w:t>
      </w:r>
      <w:r w:rsidR="009878E6">
        <w:rPr>
          <w:lang w:val="en-US"/>
        </w:rPr>
        <w:t xml:space="preserve"> and </w:t>
      </w:r>
      <w:r w:rsidR="009878E6" w:rsidRPr="00006BF0">
        <w:rPr>
          <w:b/>
          <w:bCs/>
          <w:lang w:val="en-US"/>
        </w:rPr>
        <w:t>2</w:t>
      </w:r>
      <w:r w:rsidR="009878E6">
        <w:rPr>
          <w:lang w:val="en-US"/>
        </w:rPr>
        <w:t xml:space="preserve">, prepared as the corresponding methyl esters) </w:t>
      </w:r>
      <w:r w:rsidR="009878E6">
        <w:rPr>
          <w:bCs/>
        </w:rPr>
        <w:t>were studied</w:t>
      </w:r>
      <w:r w:rsidR="009878E6">
        <w:rPr>
          <w:lang w:val="en-US"/>
        </w:rPr>
        <w:t xml:space="preserve"> by steady-state and transient spectroscopies.[</w:t>
      </w:r>
      <w:r w:rsidR="009249A6">
        <w:rPr>
          <w:lang w:val="en-US"/>
        </w:rPr>
        <w:t>5</w:t>
      </w:r>
      <w:r w:rsidR="009878E6">
        <w:rPr>
          <w:lang w:val="en-US"/>
        </w:rPr>
        <w:t>,</w:t>
      </w:r>
      <w:r w:rsidR="009249A6">
        <w:rPr>
          <w:lang w:val="en-US"/>
        </w:rPr>
        <w:t>6</w:t>
      </w:r>
      <w:r w:rsidR="009878E6">
        <w:rPr>
          <w:lang w:val="en-US"/>
        </w:rPr>
        <w:t>,</w:t>
      </w:r>
      <w:r w:rsidR="009249A6">
        <w:rPr>
          <w:lang w:val="en-US"/>
        </w:rPr>
        <w:t>7</w:t>
      </w:r>
      <w:r w:rsidR="009878E6">
        <w:rPr>
          <w:lang w:val="en-US"/>
        </w:rPr>
        <w:t>]</w:t>
      </w:r>
      <w:r>
        <w:rPr>
          <w:bCs/>
        </w:rPr>
        <w:t xml:space="preserve"> </w:t>
      </w:r>
      <w:r w:rsidR="009249A6">
        <w:rPr>
          <w:lang w:val="en-US"/>
        </w:rPr>
        <w:t>Bilirubin</w:t>
      </w:r>
      <w:r w:rsidR="009249A6" w:rsidRPr="003C0FE9">
        <w:rPr>
          <w:lang w:val="en-US"/>
        </w:rPr>
        <w:t xml:space="preserve"> is an essential metabolite formed by the catabolism of heme.</w:t>
      </w:r>
      <w:r w:rsidR="00665625">
        <w:rPr>
          <w:lang w:val="en-US"/>
        </w:rPr>
        <w:t xml:space="preserve"> </w:t>
      </w:r>
      <w:r w:rsidR="009249A6" w:rsidRPr="003C0FE9">
        <w:rPr>
          <w:lang w:val="en-US"/>
        </w:rPr>
        <w:t>Phototherapy with blue-green light can be applied to reduce high concentrations</w:t>
      </w:r>
      <w:r w:rsidR="009249A6" w:rsidRPr="003C0FE9" w:rsidDel="00A42408">
        <w:rPr>
          <w:lang w:val="en-US"/>
        </w:rPr>
        <w:t xml:space="preserve"> </w:t>
      </w:r>
      <w:r w:rsidR="009249A6" w:rsidRPr="003C0FE9">
        <w:rPr>
          <w:lang w:val="en-US"/>
        </w:rPr>
        <w:t>of BR in blood</w:t>
      </w:r>
      <w:r w:rsidR="009249A6">
        <w:rPr>
          <w:lang w:val="en-US"/>
        </w:rPr>
        <w:t>,</w:t>
      </w:r>
      <w:r w:rsidR="009249A6" w:rsidRPr="003C0FE9">
        <w:rPr>
          <w:lang w:val="en-US"/>
        </w:rPr>
        <w:t xml:space="preserve"> </w:t>
      </w:r>
      <w:r w:rsidR="009249A6" w:rsidRPr="003C0FE9">
        <w:rPr>
          <w:lang w:val="en-US"/>
        </w:rPr>
        <w:lastRenderedPageBreak/>
        <w:t xml:space="preserve">especially in the neonatal </w:t>
      </w:r>
      <w:proofErr w:type="gramStart"/>
      <w:r w:rsidR="009249A6" w:rsidRPr="003C0FE9">
        <w:rPr>
          <w:lang w:val="en-US"/>
        </w:rPr>
        <w:t>period.</w:t>
      </w:r>
      <w:r w:rsidR="009249A6">
        <w:rPr>
          <w:lang w:val="en-US"/>
        </w:rPr>
        <w:t>[</w:t>
      </w:r>
      <w:proofErr w:type="gramEnd"/>
      <w:r w:rsidR="009249A6">
        <w:rPr>
          <w:lang w:val="en-US"/>
        </w:rPr>
        <w:t>8]</w:t>
      </w:r>
      <w:r w:rsidR="00665625">
        <w:rPr>
          <w:lang w:val="en-US"/>
        </w:rPr>
        <w:t xml:space="preserve"> </w:t>
      </w:r>
      <w:r w:rsidR="00812A6A">
        <w:rPr>
          <w:lang w:val="en-US"/>
        </w:rPr>
        <w:t>Bilirubin subunits represent useful models to study the complex photochemistry of bilirubin. Both subunits undergo efficient reversible photoisomerization (</w:t>
      </w:r>
      <w:r w:rsidR="00812A6A" w:rsidRPr="00006BF0">
        <w:rPr>
          <w:i/>
          <w:lang w:val="en-US"/>
        </w:rPr>
        <w:t>Φ</w:t>
      </w:r>
      <w:r w:rsidR="00812A6A" w:rsidRPr="00006BF0">
        <w:rPr>
          <w:i/>
          <w:vertAlign w:val="subscript"/>
          <w:lang w:val="en-US"/>
        </w:rPr>
        <w:t>ZE</w:t>
      </w:r>
      <w:r w:rsidR="00812A6A" w:rsidRPr="00006BF0">
        <w:rPr>
          <w:lang w:val="en-US"/>
        </w:rPr>
        <w:t xml:space="preserve"> ~ </w:t>
      </w:r>
      <w:r w:rsidR="00812A6A" w:rsidRPr="00006BF0">
        <w:rPr>
          <w:i/>
          <w:lang w:val="en-US"/>
        </w:rPr>
        <w:t>Φ</w:t>
      </w:r>
      <w:r w:rsidR="00812A6A" w:rsidRPr="00006BF0">
        <w:rPr>
          <w:i/>
          <w:vertAlign w:val="subscript"/>
          <w:lang w:val="en-US"/>
        </w:rPr>
        <w:t>EZ</w:t>
      </w:r>
      <w:r w:rsidR="00812A6A" w:rsidRPr="00006BF0">
        <w:rPr>
          <w:lang w:val="en-US"/>
        </w:rPr>
        <w:t xml:space="preserve"> ~ 0.</w:t>
      </w:r>
      <w:r w:rsidR="00812A6A">
        <w:rPr>
          <w:lang w:val="en-US"/>
        </w:rPr>
        <w:t xml:space="preserve">15–0.30), furthermore, </w:t>
      </w:r>
      <w:r w:rsidR="00812A6A">
        <w:rPr>
          <w:i/>
          <w:iCs/>
          <w:lang w:val="en-US"/>
        </w:rPr>
        <w:t>E</w:t>
      </w:r>
      <w:r w:rsidR="00812A6A">
        <w:rPr>
          <w:lang w:val="en-US"/>
        </w:rPr>
        <w:t>-</w:t>
      </w:r>
      <w:r w:rsidR="00812A6A" w:rsidRPr="00AD6C00">
        <w:rPr>
          <w:b/>
          <w:bCs/>
          <w:lang w:val="en-US"/>
        </w:rPr>
        <w:t>1</w:t>
      </w:r>
      <w:r w:rsidR="00812A6A" w:rsidRPr="003C0FE9">
        <w:rPr>
          <w:lang w:val="en-US"/>
        </w:rPr>
        <w:t xml:space="preserve"> </w:t>
      </w:r>
      <w:r w:rsidR="00812A6A">
        <w:rPr>
          <w:lang w:val="en-US"/>
        </w:rPr>
        <w:t>undergo lumirubin-type photorearrangement to form a seven-membered ring system. The cyclization process is significantly less efficient (</w:t>
      </w:r>
      <w:proofErr w:type="spellStart"/>
      <w:r w:rsidR="00812A6A" w:rsidRPr="00006BF0">
        <w:rPr>
          <w:i/>
          <w:lang w:val="en-US"/>
        </w:rPr>
        <w:t>Φ</w:t>
      </w:r>
      <w:r w:rsidR="00812A6A" w:rsidRPr="00E4473F">
        <w:rPr>
          <w:iCs/>
          <w:vertAlign w:val="subscript"/>
          <w:lang w:val="en-US"/>
        </w:rPr>
        <w:t>c</w:t>
      </w:r>
      <w:proofErr w:type="spellEnd"/>
      <w:r w:rsidR="00812A6A" w:rsidRPr="00006BF0">
        <w:rPr>
          <w:lang w:val="en-US"/>
        </w:rPr>
        <w:t xml:space="preserve"> ~ 0.</w:t>
      </w:r>
      <w:r w:rsidR="00812A6A">
        <w:rPr>
          <w:lang w:val="en-US"/>
        </w:rPr>
        <w:t xml:space="preserve">001–0.07), but is strongly wavelength-dependent. </w:t>
      </w:r>
      <w:r w:rsidR="00812A6A">
        <w:rPr>
          <w:lang w:val="en-GB"/>
        </w:rPr>
        <w:t xml:space="preserve">The photochemistry of bilirubin dipyrrinone subunits and its biological properties are discussed and compared to those of bilirubin. </w:t>
      </w:r>
    </w:p>
    <w:p w:rsidR="00C8137A" w:rsidRPr="00B75164" w:rsidRDefault="00C8137A" w:rsidP="00812A6A">
      <w:pPr>
        <w:spacing w:line="360" w:lineRule="auto"/>
        <w:ind w:firstLine="708"/>
        <w:jc w:val="both"/>
        <w:rPr>
          <w:lang w:val="en-GB"/>
        </w:rPr>
      </w:pPr>
    </w:p>
    <w:p w:rsidR="00812A6A" w:rsidRPr="00B75164" w:rsidRDefault="00812A6A" w:rsidP="00812A6A">
      <w:pPr>
        <w:spacing w:line="360" w:lineRule="auto"/>
        <w:jc w:val="center"/>
        <w:rPr>
          <w:lang w:val="en-GB"/>
        </w:rPr>
      </w:pPr>
      <w:r w:rsidRPr="00B75164">
        <w:rPr>
          <w:lang w:val="en-GB"/>
        </w:rPr>
        <w:object w:dxaOrig="10507" w:dyaOrig="3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158.25pt" o:ole="">
            <v:imagedata r:id="rId7" o:title=""/>
          </v:shape>
          <o:OLEObject Type="Embed" ProgID="ChemDraw.Document.6.0" ShapeID="_x0000_i1025" DrawAspect="Content" ObjectID="_1703676852" r:id="rId8"/>
        </w:object>
      </w:r>
    </w:p>
    <w:p w:rsidR="00CE37EA" w:rsidRDefault="00CE37EA" w:rsidP="00812A6A">
      <w:pPr>
        <w:spacing w:line="360" w:lineRule="auto"/>
        <w:jc w:val="both"/>
        <w:rPr>
          <w:sz w:val="20"/>
          <w:szCs w:val="20"/>
          <w:lang w:val="en-GB"/>
        </w:rPr>
      </w:pPr>
    </w:p>
    <w:p w:rsidR="00CE37EA" w:rsidRDefault="00CE37EA" w:rsidP="00CE37EA">
      <w:pPr>
        <w:spacing w:line="360" w:lineRule="auto"/>
        <w:jc w:val="both"/>
        <w:rPr>
          <w:sz w:val="20"/>
          <w:szCs w:val="20"/>
          <w:lang w:val="en-US"/>
        </w:rPr>
      </w:pPr>
      <w:r>
        <w:rPr>
          <w:sz w:val="20"/>
          <w:szCs w:val="20"/>
          <w:lang w:val="en-US"/>
        </w:rPr>
        <w:t xml:space="preserve">[1] </w:t>
      </w:r>
      <w:r w:rsidRPr="001826AF">
        <w:rPr>
          <w:sz w:val="20"/>
          <w:szCs w:val="20"/>
          <w:lang w:val="en-US"/>
        </w:rPr>
        <w:t xml:space="preserve">Liu, K. Y.; Kong, X. Q.; Ma, Y. Y.; Lin, W. Y. </w:t>
      </w:r>
      <w:proofErr w:type="spellStart"/>
      <w:r w:rsidRPr="001826AF">
        <w:rPr>
          <w:i/>
          <w:sz w:val="20"/>
          <w:szCs w:val="20"/>
          <w:lang w:val="en-US"/>
        </w:rPr>
        <w:t>Angew</w:t>
      </w:r>
      <w:proofErr w:type="spellEnd"/>
      <w:r w:rsidRPr="001826AF">
        <w:rPr>
          <w:i/>
          <w:sz w:val="20"/>
          <w:szCs w:val="20"/>
          <w:lang w:val="en-US"/>
        </w:rPr>
        <w:t>. Chem. Int. Ed.</w:t>
      </w:r>
      <w:r w:rsidRPr="001826AF">
        <w:rPr>
          <w:sz w:val="20"/>
          <w:szCs w:val="20"/>
          <w:lang w:val="en-US"/>
        </w:rPr>
        <w:t xml:space="preserve"> </w:t>
      </w:r>
      <w:r w:rsidRPr="001826AF">
        <w:rPr>
          <w:b/>
          <w:sz w:val="20"/>
          <w:szCs w:val="20"/>
          <w:lang w:val="en-US"/>
        </w:rPr>
        <w:t>2017</w:t>
      </w:r>
      <w:r w:rsidRPr="001826AF">
        <w:rPr>
          <w:sz w:val="20"/>
          <w:szCs w:val="20"/>
          <w:lang w:val="en-US"/>
        </w:rPr>
        <w:t xml:space="preserve">, </w:t>
      </w:r>
      <w:r w:rsidRPr="001826AF">
        <w:rPr>
          <w:i/>
          <w:sz w:val="20"/>
          <w:szCs w:val="20"/>
          <w:lang w:val="en-US"/>
        </w:rPr>
        <w:t>56</w:t>
      </w:r>
      <w:r w:rsidRPr="001826AF">
        <w:rPr>
          <w:sz w:val="20"/>
          <w:szCs w:val="20"/>
          <w:lang w:val="en-US"/>
        </w:rPr>
        <w:t>, 13489-13492.</w:t>
      </w:r>
    </w:p>
    <w:p w:rsidR="00CE37EA" w:rsidRDefault="00CE37EA" w:rsidP="00CE37EA">
      <w:pPr>
        <w:spacing w:line="360" w:lineRule="auto"/>
        <w:jc w:val="both"/>
        <w:rPr>
          <w:sz w:val="20"/>
          <w:szCs w:val="20"/>
          <w:lang w:val="en-GB"/>
        </w:rPr>
      </w:pPr>
      <w:r>
        <w:rPr>
          <w:sz w:val="20"/>
          <w:szCs w:val="20"/>
          <w:lang w:val="en-GB"/>
        </w:rPr>
        <w:t>[2</w:t>
      </w:r>
      <w:r w:rsidRPr="00B12DC3">
        <w:rPr>
          <w:sz w:val="20"/>
          <w:szCs w:val="20"/>
          <w:lang w:val="en-GB"/>
        </w:rPr>
        <w:t xml:space="preserve">] </w:t>
      </w:r>
      <w:proofErr w:type="spellStart"/>
      <w:r w:rsidRPr="001826AF">
        <w:rPr>
          <w:sz w:val="20"/>
          <w:szCs w:val="20"/>
          <w:lang w:val="en-US"/>
        </w:rPr>
        <w:t>Ryter</w:t>
      </w:r>
      <w:proofErr w:type="spellEnd"/>
      <w:r w:rsidRPr="001826AF">
        <w:rPr>
          <w:sz w:val="20"/>
          <w:szCs w:val="20"/>
          <w:lang w:val="en-US"/>
        </w:rPr>
        <w:t xml:space="preserve">, S. W.; </w:t>
      </w:r>
      <w:proofErr w:type="spellStart"/>
      <w:r w:rsidRPr="001826AF">
        <w:rPr>
          <w:sz w:val="20"/>
          <w:szCs w:val="20"/>
          <w:lang w:val="en-US"/>
        </w:rPr>
        <w:t>Alam</w:t>
      </w:r>
      <w:proofErr w:type="spellEnd"/>
      <w:r w:rsidRPr="001826AF">
        <w:rPr>
          <w:sz w:val="20"/>
          <w:szCs w:val="20"/>
          <w:lang w:val="en-US"/>
        </w:rPr>
        <w:t xml:space="preserve">, J.; Choi, A. M. K. </w:t>
      </w:r>
      <w:r w:rsidRPr="001826AF">
        <w:rPr>
          <w:i/>
          <w:sz w:val="20"/>
          <w:szCs w:val="20"/>
          <w:lang w:val="en-US"/>
        </w:rPr>
        <w:t>Physiol. Rev.</w:t>
      </w:r>
      <w:r w:rsidRPr="001826AF">
        <w:rPr>
          <w:sz w:val="20"/>
          <w:szCs w:val="20"/>
          <w:lang w:val="en-US"/>
        </w:rPr>
        <w:t xml:space="preserve"> </w:t>
      </w:r>
      <w:r w:rsidRPr="001826AF">
        <w:rPr>
          <w:b/>
          <w:sz w:val="20"/>
          <w:szCs w:val="20"/>
          <w:lang w:val="en-US"/>
        </w:rPr>
        <w:t>2006</w:t>
      </w:r>
      <w:r w:rsidRPr="001826AF">
        <w:rPr>
          <w:sz w:val="20"/>
          <w:szCs w:val="20"/>
          <w:lang w:val="en-US"/>
        </w:rPr>
        <w:t xml:space="preserve">, </w:t>
      </w:r>
      <w:r w:rsidRPr="001826AF">
        <w:rPr>
          <w:i/>
          <w:sz w:val="20"/>
          <w:szCs w:val="20"/>
          <w:lang w:val="en-US"/>
        </w:rPr>
        <w:t>86</w:t>
      </w:r>
      <w:r w:rsidRPr="001826AF">
        <w:rPr>
          <w:sz w:val="20"/>
          <w:szCs w:val="20"/>
          <w:lang w:val="en-US"/>
        </w:rPr>
        <w:t>, 583-650</w:t>
      </w:r>
      <w:r>
        <w:rPr>
          <w:sz w:val="20"/>
          <w:szCs w:val="20"/>
          <w:lang w:val="en-GB"/>
        </w:rPr>
        <w:t>.</w:t>
      </w:r>
    </w:p>
    <w:p w:rsidR="00CE37EA" w:rsidRDefault="00CE37EA" w:rsidP="00CE37EA">
      <w:pPr>
        <w:spacing w:line="360" w:lineRule="auto"/>
        <w:jc w:val="both"/>
        <w:rPr>
          <w:sz w:val="20"/>
          <w:szCs w:val="20"/>
          <w:lang w:val="en-US"/>
        </w:rPr>
      </w:pPr>
      <w:r>
        <w:rPr>
          <w:sz w:val="20"/>
          <w:szCs w:val="20"/>
          <w:lang w:val="en-GB"/>
        </w:rPr>
        <w:t>[3</w:t>
      </w:r>
      <w:r w:rsidRPr="001826AF">
        <w:rPr>
          <w:sz w:val="20"/>
          <w:szCs w:val="20"/>
          <w:lang w:val="en-GB"/>
        </w:rPr>
        <w:t xml:space="preserve">] </w:t>
      </w:r>
      <w:r w:rsidRPr="001826AF">
        <w:rPr>
          <w:sz w:val="20"/>
          <w:szCs w:val="20"/>
          <w:lang w:val="en-US"/>
        </w:rPr>
        <w:t xml:space="preserve">Wu, L.; Wang, R. </w:t>
      </w:r>
      <w:proofErr w:type="spellStart"/>
      <w:r w:rsidRPr="001826AF">
        <w:rPr>
          <w:i/>
          <w:sz w:val="20"/>
          <w:szCs w:val="20"/>
          <w:lang w:val="en-US"/>
        </w:rPr>
        <w:t>Pharmacol</w:t>
      </w:r>
      <w:proofErr w:type="spellEnd"/>
      <w:r w:rsidRPr="001826AF">
        <w:rPr>
          <w:i/>
          <w:sz w:val="20"/>
          <w:szCs w:val="20"/>
          <w:lang w:val="en-US"/>
        </w:rPr>
        <w:t>. Rev.</w:t>
      </w:r>
      <w:r w:rsidRPr="001826AF">
        <w:rPr>
          <w:sz w:val="20"/>
          <w:szCs w:val="20"/>
          <w:lang w:val="en-US"/>
        </w:rPr>
        <w:t xml:space="preserve"> </w:t>
      </w:r>
      <w:r w:rsidRPr="001826AF">
        <w:rPr>
          <w:b/>
          <w:sz w:val="20"/>
          <w:szCs w:val="20"/>
          <w:lang w:val="en-US"/>
        </w:rPr>
        <w:t>2005</w:t>
      </w:r>
      <w:r w:rsidRPr="001826AF">
        <w:rPr>
          <w:sz w:val="20"/>
          <w:szCs w:val="20"/>
          <w:lang w:val="en-US"/>
        </w:rPr>
        <w:t xml:space="preserve">, </w:t>
      </w:r>
      <w:r w:rsidRPr="001826AF">
        <w:rPr>
          <w:i/>
          <w:sz w:val="20"/>
          <w:szCs w:val="20"/>
          <w:lang w:val="en-US"/>
        </w:rPr>
        <w:t>57</w:t>
      </w:r>
      <w:r w:rsidRPr="001826AF">
        <w:rPr>
          <w:sz w:val="20"/>
          <w:szCs w:val="20"/>
          <w:lang w:val="en-US"/>
        </w:rPr>
        <w:t>, 585-630.</w:t>
      </w:r>
    </w:p>
    <w:p w:rsidR="00CE37EA" w:rsidRDefault="00CE37EA" w:rsidP="00CE37EA">
      <w:pPr>
        <w:spacing w:line="360" w:lineRule="auto"/>
        <w:jc w:val="both"/>
        <w:rPr>
          <w:sz w:val="20"/>
          <w:szCs w:val="20"/>
          <w:lang w:val="en-US"/>
        </w:rPr>
      </w:pPr>
      <w:r>
        <w:rPr>
          <w:sz w:val="20"/>
          <w:szCs w:val="20"/>
          <w:lang w:val="en-US"/>
        </w:rPr>
        <w:t xml:space="preserve">[4] </w:t>
      </w:r>
      <w:r w:rsidRPr="00CE37EA">
        <w:rPr>
          <w:sz w:val="20"/>
          <w:szCs w:val="20"/>
          <w:lang w:val="en-US"/>
        </w:rPr>
        <w:t>Madea</w:t>
      </w:r>
      <w:r>
        <w:rPr>
          <w:sz w:val="20"/>
          <w:szCs w:val="20"/>
          <w:lang w:val="en-US"/>
        </w:rPr>
        <w:t>,</w:t>
      </w:r>
      <w:r w:rsidRPr="00CE37EA">
        <w:rPr>
          <w:sz w:val="20"/>
          <w:szCs w:val="20"/>
          <w:lang w:val="en-US"/>
        </w:rPr>
        <w:t xml:space="preserve"> D.</w:t>
      </w:r>
      <w:r>
        <w:rPr>
          <w:sz w:val="20"/>
          <w:szCs w:val="20"/>
          <w:lang w:val="en-US"/>
        </w:rPr>
        <w:t>;</w:t>
      </w:r>
      <w:r w:rsidRPr="00CE37EA">
        <w:rPr>
          <w:sz w:val="20"/>
          <w:szCs w:val="20"/>
          <w:lang w:val="en-US"/>
        </w:rPr>
        <w:t xml:space="preserve"> Martínek</w:t>
      </w:r>
      <w:r>
        <w:rPr>
          <w:sz w:val="20"/>
          <w:szCs w:val="20"/>
          <w:lang w:val="en-US"/>
        </w:rPr>
        <w:t>,</w:t>
      </w:r>
      <w:r w:rsidRPr="00CE37EA">
        <w:rPr>
          <w:sz w:val="20"/>
          <w:szCs w:val="20"/>
          <w:lang w:val="en-US"/>
        </w:rPr>
        <w:t xml:space="preserve"> M.</w:t>
      </w:r>
      <w:r>
        <w:rPr>
          <w:sz w:val="20"/>
          <w:szCs w:val="20"/>
          <w:lang w:val="en-US"/>
        </w:rPr>
        <w:t>;</w:t>
      </w:r>
      <w:r w:rsidRPr="00CE37EA">
        <w:rPr>
          <w:sz w:val="20"/>
          <w:szCs w:val="20"/>
          <w:lang w:val="en-US"/>
        </w:rPr>
        <w:t xml:space="preserve"> Muchová</w:t>
      </w:r>
      <w:r>
        <w:rPr>
          <w:sz w:val="20"/>
          <w:szCs w:val="20"/>
          <w:lang w:val="en-US"/>
        </w:rPr>
        <w:t>,</w:t>
      </w:r>
      <w:r w:rsidRPr="00CE37EA">
        <w:rPr>
          <w:sz w:val="20"/>
          <w:szCs w:val="20"/>
          <w:lang w:val="en-US"/>
        </w:rPr>
        <w:t xml:space="preserve"> L.</w:t>
      </w:r>
      <w:r>
        <w:rPr>
          <w:sz w:val="20"/>
          <w:szCs w:val="20"/>
          <w:lang w:val="en-US"/>
        </w:rPr>
        <w:t>;</w:t>
      </w:r>
      <w:r w:rsidRPr="00CE37EA">
        <w:rPr>
          <w:sz w:val="20"/>
          <w:szCs w:val="20"/>
          <w:lang w:val="en-US"/>
        </w:rPr>
        <w:t xml:space="preserve"> Vítek</w:t>
      </w:r>
      <w:r>
        <w:rPr>
          <w:sz w:val="20"/>
          <w:szCs w:val="20"/>
          <w:lang w:val="en-US"/>
        </w:rPr>
        <w:t>,</w:t>
      </w:r>
      <w:r w:rsidRPr="00CE37EA">
        <w:rPr>
          <w:sz w:val="20"/>
          <w:szCs w:val="20"/>
          <w:lang w:val="en-US"/>
        </w:rPr>
        <w:t xml:space="preserve"> L.</w:t>
      </w:r>
      <w:r>
        <w:rPr>
          <w:sz w:val="20"/>
          <w:szCs w:val="20"/>
          <w:lang w:val="en-US"/>
        </w:rPr>
        <w:t>;</w:t>
      </w:r>
      <w:r w:rsidRPr="00CE37EA">
        <w:rPr>
          <w:sz w:val="20"/>
          <w:szCs w:val="20"/>
          <w:lang w:val="en-US"/>
        </w:rPr>
        <w:t xml:space="preserve"> Klán</w:t>
      </w:r>
      <w:r>
        <w:rPr>
          <w:sz w:val="20"/>
          <w:szCs w:val="20"/>
          <w:lang w:val="en-US"/>
        </w:rPr>
        <w:t>,</w:t>
      </w:r>
      <w:r w:rsidRPr="00CE37EA">
        <w:rPr>
          <w:sz w:val="20"/>
          <w:szCs w:val="20"/>
          <w:lang w:val="en-US"/>
        </w:rPr>
        <w:t xml:space="preserve"> P. </w:t>
      </w:r>
      <w:r w:rsidRPr="00CE37EA">
        <w:rPr>
          <w:i/>
          <w:sz w:val="20"/>
          <w:szCs w:val="20"/>
          <w:lang w:val="en-US"/>
        </w:rPr>
        <w:t xml:space="preserve"> J. Org. Chem.</w:t>
      </w:r>
      <w:r w:rsidRPr="00CE37EA">
        <w:rPr>
          <w:sz w:val="20"/>
          <w:szCs w:val="20"/>
          <w:lang w:val="en-US"/>
        </w:rPr>
        <w:t xml:space="preserve"> </w:t>
      </w:r>
      <w:r w:rsidRPr="00CE37EA">
        <w:rPr>
          <w:b/>
          <w:sz w:val="20"/>
          <w:szCs w:val="20"/>
          <w:lang w:val="en-US"/>
        </w:rPr>
        <w:t>2020</w:t>
      </w:r>
      <w:r w:rsidRPr="00CE37EA">
        <w:rPr>
          <w:sz w:val="20"/>
          <w:szCs w:val="20"/>
          <w:lang w:val="en-US"/>
        </w:rPr>
        <w:t xml:space="preserve">, </w:t>
      </w:r>
      <w:r w:rsidRPr="00CE37EA">
        <w:rPr>
          <w:i/>
          <w:sz w:val="20"/>
          <w:szCs w:val="20"/>
          <w:lang w:val="en-US"/>
        </w:rPr>
        <w:t>85</w:t>
      </w:r>
      <w:r w:rsidRPr="00CE37EA">
        <w:rPr>
          <w:sz w:val="20"/>
          <w:szCs w:val="20"/>
          <w:lang w:val="en-US"/>
        </w:rPr>
        <w:t>, 3473-3489.</w:t>
      </w:r>
    </w:p>
    <w:p w:rsidR="00812A6A" w:rsidRPr="00531D7B" w:rsidRDefault="009249A6" w:rsidP="00812A6A">
      <w:pPr>
        <w:spacing w:line="360" w:lineRule="auto"/>
        <w:jc w:val="both"/>
        <w:rPr>
          <w:b/>
          <w:sz w:val="20"/>
          <w:szCs w:val="20"/>
          <w:lang w:val="en-US"/>
        </w:rPr>
      </w:pPr>
      <w:r>
        <w:rPr>
          <w:sz w:val="20"/>
          <w:szCs w:val="20"/>
          <w:lang w:val="en-GB"/>
        </w:rPr>
        <w:t>[5</w:t>
      </w:r>
      <w:r w:rsidR="00812A6A" w:rsidRPr="00E4473F">
        <w:rPr>
          <w:sz w:val="20"/>
          <w:szCs w:val="20"/>
          <w:lang w:val="en-GB"/>
        </w:rPr>
        <w:t xml:space="preserve">] </w:t>
      </w:r>
      <w:r w:rsidR="00812A6A">
        <w:rPr>
          <w:sz w:val="20"/>
          <w:szCs w:val="20"/>
          <w:lang w:val="en-GB"/>
        </w:rPr>
        <w:t xml:space="preserve">Madea, D. </w:t>
      </w:r>
      <w:r w:rsidR="00812A6A" w:rsidRPr="00531D7B">
        <w:rPr>
          <w:i/>
          <w:iCs/>
          <w:sz w:val="20"/>
          <w:szCs w:val="20"/>
          <w:lang w:val="en-GB"/>
        </w:rPr>
        <w:t>et. al.</w:t>
      </w:r>
      <w:r w:rsidR="00812A6A">
        <w:rPr>
          <w:sz w:val="20"/>
          <w:szCs w:val="20"/>
          <w:lang w:val="en-GB"/>
        </w:rPr>
        <w:t xml:space="preserve"> </w:t>
      </w:r>
      <w:r w:rsidR="00812A6A">
        <w:rPr>
          <w:i/>
          <w:iCs/>
          <w:sz w:val="20"/>
          <w:szCs w:val="20"/>
          <w:lang w:val="en-GB"/>
        </w:rPr>
        <w:t xml:space="preserve">J. Org. Chem. </w:t>
      </w:r>
      <w:r w:rsidR="00812A6A" w:rsidRPr="00531D7B">
        <w:rPr>
          <w:b/>
          <w:sz w:val="20"/>
          <w:szCs w:val="20"/>
          <w:lang w:val="en-US"/>
        </w:rPr>
        <w:t xml:space="preserve">2020, </w:t>
      </w:r>
      <w:r w:rsidR="00812A6A" w:rsidRPr="00531D7B">
        <w:rPr>
          <w:bCs/>
          <w:i/>
          <w:sz w:val="20"/>
          <w:szCs w:val="20"/>
          <w:lang w:val="en-US"/>
        </w:rPr>
        <w:t>85</w:t>
      </w:r>
      <w:r w:rsidR="00812A6A" w:rsidRPr="00531D7B">
        <w:rPr>
          <w:bCs/>
          <w:sz w:val="20"/>
          <w:szCs w:val="20"/>
          <w:lang w:val="en-US"/>
        </w:rPr>
        <w:t>, 13015.</w:t>
      </w:r>
    </w:p>
    <w:p w:rsidR="00812A6A" w:rsidRDefault="009249A6" w:rsidP="00F1332C">
      <w:pPr>
        <w:spacing w:line="360" w:lineRule="auto"/>
        <w:jc w:val="both"/>
        <w:rPr>
          <w:sz w:val="20"/>
          <w:szCs w:val="20"/>
          <w:lang w:val="en-GB"/>
        </w:rPr>
      </w:pPr>
      <w:r>
        <w:rPr>
          <w:sz w:val="20"/>
          <w:szCs w:val="20"/>
          <w:lang w:val="en-GB"/>
        </w:rPr>
        <w:t>[6</w:t>
      </w:r>
      <w:r w:rsidR="00812A6A" w:rsidRPr="00E4473F">
        <w:rPr>
          <w:sz w:val="20"/>
          <w:szCs w:val="20"/>
          <w:lang w:val="en-GB"/>
        </w:rPr>
        <w:t xml:space="preserve">] </w:t>
      </w:r>
      <w:proofErr w:type="spellStart"/>
      <w:r w:rsidR="00812A6A">
        <w:rPr>
          <w:sz w:val="20"/>
          <w:szCs w:val="20"/>
          <w:lang w:val="en-GB"/>
        </w:rPr>
        <w:t>Jano</w:t>
      </w:r>
      <w:proofErr w:type="spellEnd"/>
      <w:r w:rsidR="00812A6A">
        <w:rPr>
          <w:sz w:val="20"/>
          <w:szCs w:val="20"/>
          <w:lang w:val="cs-CZ"/>
        </w:rPr>
        <w:t>š, J.</w:t>
      </w:r>
      <w:r w:rsidR="00812A6A">
        <w:rPr>
          <w:sz w:val="20"/>
          <w:szCs w:val="20"/>
          <w:lang w:val="en-US"/>
        </w:rPr>
        <w:t xml:space="preserve">; Madea, D. </w:t>
      </w:r>
      <w:r w:rsidR="00812A6A">
        <w:rPr>
          <w:i/>
          <w:iCs/>
          <w:sz w:val="20"/>
          <w:szCs w:val="20"/>
          <w:lang w:val="en-US"/>
        </w:rPr>
        <w:t>et. al. J. Phys. Chem. A</w:t>
      </w:r>
      <w:r w:rsidR="00812A6A" w:rsidRPr="00E4473F">
        <w:rPr>
          <w:i/>
          <w:sz w:val="20"/>
          <w:szCs w:val="20"/>
          <w:lang w:val="en-GB"/>
        </w:rPr>
        <w:t>.</w:t>
      </w:r>
      <w:r w:rsidR="00812A6A" w:rsidRPr="00E4473F">
        <w:rPr>
          <w:sz w:val="20"/>
          <w:szCs w:val="20"/>
          <w:lang w:val="en-GB"/>
        </w:rPr>
        <w:t xml:space="preserve"> </w:t>
      </w:r>
      <w:r w:rsidR="00812A6A">
        <w:rPr>
          <w:b/>
          <w:sz w:val="20"/>
          <w:szCs w:val="20"/>
          <w:lang w:val="en-GB"/>
        </w:rPr>
        <w:t>2020</w:t>
      </w:r>
      <w:r w:rsidR="00812A6A" w:rsidRPr="00E4473F">
        <w:rPr>
          <w:sz w:val="20"/>
          <w:szCs w:val="20"/>
          <w:lang w:val="en-GB"/>
        </w:rPr>
        <w:t xml:space="preserve">, </w:t>
      </w:r>
      <w:r w:rsidR="00812A6A">
        <w:rPr>
          <w:i/>
          <w:sz w:val="20"/>
          <w:szCs w:val="20"/>
          <w:lang w:val="en-GB"/>
        </w:rPr>
        <w:t>124</w:t>
      </w:r>
      <w:r w:rsidR="00812A6A" w:rsidRPr="00E4473F">
        <w:rPr>
          <w:sz w:val="20"/>
          <w:szCs w:val="20"/>
          <w:lang w:val="en-GB"/>
        </w:rPr>
        <w:t xml:space="preserve">, </w:t>
      </w:r>
      <w:r w:rsidR="00812A6A">
        <w:rPr>
          <w:sz w:val="20"/>
          <w:szCs w:val="20"/>
          <w:lang w:val="en-GB"/>
        </w:rPr>
        <w:t>10457</w:t>
      </w:r>
      <w:r w:rsidR="00812A6A" w:rsidRPr="00E4473F">
        <w:rPr>
          <w:sz w:val="20"/>
          <w:szCs w:val="20"/>
          <w:lang w:val="en-GB"/>
        </w:rPr>
        <w:t>.</w:t>
      </w:r>
    </w:p>
    <w:p w:rsidR="00812A6A" w:rsidRDefault="00CE37EA" w:rsidP="00F1332C">
      <w:pPr>
        <w:spacing w:line="360" w:lineRule="auto"/>
        <w:jc w:val="both"/>
        <w:rPr>
          <w:sz w:val="20"/>
          <w:szCs w:val="20"/>
          <w:lang w:val="en-GB"/>
        </w:rPr>
      </w:pPr>
      <w:r>
        <w:rPr>
          <w:sz w:val="20"/>
          <w:szCs w:val="20"/>
          <w:lang w:val="en-GB"/>
        </w:rPr>
        <w:t>[</w:t>
      </w:r>
      <w:r w:rsidR="009249A6">
        <w:rPr>
          <w:sz w:val="20"/>
          <w:szCs w:val="20"/>
          <w:lang w:val="en-GB"/>
        </w:rPr>
        <w:t>7</w:t>
      </w:r>
      <w:r>
        <w:rPr>
          <w:sz w:val="20"/>
          <w:szCs w:val="20"/>
          <w:lang w:val="en-GB"/>
        </w:rPr>
        <w:t xml:space="preserve">] </w:t>
      </w:r>
      <w:r w:rsidRPr="00CE37EA">
        <w:rPr>
          <w:sz w:val="20"/>
          <w:szCs w:val="20"/>
          <w:lang w:val="en-GB"/>
        </w:rPr>
        <w:t>Madea</w:t>
      </w:r>
      <w:r w:rsidR="000D103F">
        <w:rPr>
          <w:sz w:val="20"/>
          <w:szCs w:val="20"/>
          <w:lang w:val="en-GB"/>
        </w:rPr>
        <w:t>,</w:t>
      </w:r>
      <w:r w:rsidRPr="00CE37EA">
        <w:rPr>
          <w:sz w:val="20"/>
          <w:szCs w:val="20"/>
          <w:lang w:val="en-GB"/>
        </w:rPr>
        <w:t xml:space="preserve"> D.</w:t>
      </w:r>
      <w:r w:rsidR="00751854">
        <w:rPr>
          <w:sz w:val="20"/>
          <w:szCs w:val="20"/>
          <w:lang w:val="en-GB"/>
        </w:rPr>
        <w:t xml:space="preserve"> </w:t>
      </w:r>
      <w:r w:rsidR="00751854" w:rsidRPr="00531D7B">
        <w:rPr>
          <w:i/>
          <w:iCs/>
          <w:sz w:val="20"/>
          <w:szCs w:val="20"/>
          <w:lang w:val="en-GB"/>
        </w:rPr>
        <w:t>et. al.</w:t>
      </w:r>
      <w:r w:rsidR="00751854">
        <w:rPr>
          <w:sz w:val="20"/>
          <w:szCs w:val="20"/>
          <w:lang w:val="en-GB"/>
        </w:rPr>
        <w:t xml:space="preserve"> (</w:t>
      </w:r>
      <w:r w:rsidRPr="00CE37EA">
        <w:rPr>
          <w:sz w:val="20"/>
          <w:szCs w:val="20"/>
          <w:lang w:val="en-GB"/>
        </w:rPr>
        <w:t>submitted</w:t>
      </w:r>
      <w:r w:rsidR="00751854">
        <w:rPr>
          <w:sz w:val="20"/>
          <w:szCs w:val="20"/>
          <w:lang w:val="en-GB"/>
        </w:rPr>
        <w:t xml:space="preserve"> to </w:t>
      </w:r>
      <w:r w:rsidR="00751854" w:rsidRPr="00751854">
        <w:rPr>
          <w:i/>
          <w:sz w:val="20"/>
          <w:szCs w:val="20"/>
          <w:lang w:val="en-GB"/>
        </w:rPr>
        <w:t>J. Org. Chem.</w:t>
      </w:r>
      <w:r w:rsidRPr="00CE37EA">
        <w:rPr>
          <w:sz w:val="20"/>
          <w:szCs w:val="20"/>
          <w:lang w:val="en-GB"/>
        </w:rPr>
        <w:t>)</w:t>
      </w:r>
    </w:p>
    <w:p w:rsidR="009249A6" w:rsidRPr="00812A6A" w:rsidRDefault="009249A6" w:rsidP="00F1332C">
      <w:pPr>
        <w:spacing w:line="360" w:lineRule="auto"/>
        <w:jc w:val="both"/>
        <w:rPr>
          <w:sz w:val="20"/>
          <w:szCs w:val="20"/>
          <w:lang w:val="en-GB"/>
        </w:rPr>
      </w:pPr>
      <w:r>
        <w:rPr>
          <w:sz w:val="20"/>
          <w:szCs w:val="20"/>
          <w:lang w:val="en-GB"/>
        </w:rPr>
        <w:t>[8</w:t>
      </w:r>
      <w:r w:rsidRPr="00E4473F">
        <w:rPr>
          <w:sz w:val="20"/>
          <w:szCs w:val="20"/>
          <w:lang w:val="en-GB"/>
        </w:rPr>
        <w:t xml:space="preserve">] </w:t>
      </w:r>
      <w:r w:rsidRPr="00E4473F">
        <w:rPr>
          <w:sz w:val="20"/>
          <w:szCs w:val="20"/>
        </w:rPr>
        <w:t>Vítek, L.; Ostrow, J. D.</w:t>
      </w:r>
      <w:r w:rsidRPr="00E4473F">
        <w:rPr>
          <w:sz w:val="20"/>
          <w:szCs w:val="20"/>
          <w:lang w:val="en-GB"/>
        </w:rPr>
        <w:t xml:space="preserve"> </w:t>
      </w:r>
      <w:r w:rsidRPr="00E4473F">
        <w:rPr>
          <w:i/>
          <w:sz w:val="20"/>
          <w:szCs w:val="20"/>
        </w:rPr>
        <w:t>Curr. Pharm. Des.</w:t>
      </w:r>
      <w:r w:rsidRPr="00E4473F">
        <w:rPr>
          <w:sz w:val="20"/>
          <w:szCs w:val="20"/>
        </w:rPr>
        <w:t xml:space="preserve"> </w:t>
      </w:r>
      <w:r w:rsidRPr="00E4473F">
        <w:rPr>
          <w:b/>
          <w:sz w:val="20"/>
          <w:szCs w:val="20"/>
        </w:rPr>
        <w:t>2009</w:t>
      </w:r>
      <w:r w:rsidRPr="00E4473F">
        <w:rPr>
          <w:sz w:val="20"/>
          <w:szCs w:val="20"/>
        </w:rPr>
        <w:t xml:space="preserve">, </w:t>
      </w:r>
      <w:r w:rsidRPr="00E4473F">
        <w:rPr>
          <w:i/>
          <w:sz w:val="20"/>
          <w:szCs w:val="20"/>
        </w:rPr>
        <w:t>15</w:t>
      </w:r>
      <w:r w:rsidRPr="00E4473F">
        <w:rPr>
          <w:sz w:val="20"/>
          <w:szCs w:val="20"/>
        </w:rPr>
        <w:t>, 2869</w:t>
      </w:r>
      <w:r w:rsidRPr="00E4473F">
        <w:rPr>
          <w:sz w:val="20"/>
          <w:szCs w:val="20"/>
          <w:lang w:val="en-GB"/>
        </w:rPr>
        <w:t>.</w:t>
      </w:r>
    </w:p>
    <w:sectPr w:rsidR="009249A6" w:rsidRPr="00812A6A" w:rsidSect="00B12DC3">
      <w:headerReference w:type="default" r:id="rId9"/>
      <w:pgSz w:w="11906" w:h="16838"/>
      <w:pgMar w:top="1701" w:right="1418" w:bottom="1701" w:left="1418" w:header="578"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E7A" w:rsidRDefault="00334E7A">
      <w:r>
        <w:separator/>
      </w:r>
    </w:p>
  </w:endnote>
  <w:endnote w:type="continuationSeparator" w:id="0">
    <w:p w:rsidR="00334E7A" w:rsidRDefault="0033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E7A" w:rsidRDefault="00334E7A">
      <w:r>
        <w:separator/>
      </w:r>
    </w:p>
  </w:footnote>
  <w:footnote w:type="continuationSeparator" w:id="0">
    <w:p w:rsidR="00334E7A" w:rsidRDefault="00334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5C4" w:rsidRDefault="00D555C4">
    <w:pPr>
      <w:pStyle w:val="Zhlav"/>
      <w:jc w:val="center"/>
      <w:rPr>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F4E7168"/>
    <w:multiLevelType w:val="singleLevel"/>
    <w:tmpl w:val="CB948AFC"/>
    <w:lvl w:ilvl="0">
      <w:numFmt w:val="bullet"/>
      <w:lvlText w:val="-"/>
      <w:lvlJc w:val="left"/>
      <w:pPr>
        <w:tabs>
          <w:tab w:val="num" w:pos="360"/>
        </w:tabs>
        <w:ind w:left="360" w:hanging="360"/>
      </w:pPr>
      <w:rPr>
        <w:rFonts w:ascii="Times New Roman" w:hAnsi="Times New Roman"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zMTQ0NzAxMjYxMDFW0lEKTi0uzszPAykwrAUAft2EpiwAAAA="/>
  </w:docVars>
  <w:rsids>
    <w:rsidRoot w:val="004D7E45"/>
    <w:rsid w:val="00067CA5"/>
    <w:rsid w:val="000A2420"/>
    <w:rsid w:val="000C6C02"/>
    <w:rsid w:val="000D103F"/>
    <w:rsid w:val="00165DA3"/>
    <w:rsid w:val="001826AF"/>
    <w:rsid w:val="00195D7B"/>
    <w:rsid w:val="001A3C44"/>
    <w:rsid w:val="001A4DA8"/>
    <w:rsid w:val="001B58B2"/>
    <w:rsid w:val="001F4D00"/>
    <w:rsid w:val="00213533"/>
    <w:rsid w:val="00216292"/>
    <w:rsid w:val="00226372"/>
    <w:rsid w:val="002359FF"/>
    <w:rsid w:val="00253D11"/>
    <w:rsid w:val="00291C35"/>
    <w:rsid w:val="002A4197"/>
    <w:rsid w:val="002B498C"/>
    <w:rsid w:val="002C5ADF"/>
    <w:rsid w:val="002E79B1"/>
    <w:rsid w:val="002F4AEB"/>
    <w:rsid w:val="00306A55"/>
    <w:rsid w:val="00311DDB"/>
    <w:rsid w:val="00334E7A"/>
    <w:rsid w:val="00351AAA"/>
    <w:rsid w:val="003970FE"/>
    <w:rsid w:val="003B1046"/>
    <w:rsid w:val="003C1799"/>
    <w:rsid w:val="003D3910"/>
    <w:rsid w:val="003E41D7"/>
    <w:rsid w:val="003F0ECD"/>
    <w:rsid w:val="003F183E"/>
    <w:rsid w:val="00440B2E"/>
    <w:rsid w:val="00465845"/>
    <w:rsid w:val="00495276"/>
    <w:rsid w:val="004C6458"/>
    <w:rsid w:val="004D7E45"/>
    <w:rsid w:val="004F2C74"/>
    <w:rsid w:val="00513CC1"/>
    <w:rsid w:val="00536348"/>
    <w:rsid w:val="005567E2"/>
    <w:rsid w:val="00567EC0"/>
    <w:rsid w:val="005C59FE"/>
    <w:rsid w:val="00606B90"/>
    <w:rsid w:val="0064729F"/>
    <w:rsid w:val="00665625"/>
    <w:rsid w:val="006753C0"/>
    <w:rsid w:val="00676373"/>
    <w:rsid w:val="006839BC"/>
    <w:rsid w:val="00695D01"/>
    <w:rsid w:val="00696629"/>
    <w:rsid w:val="006F14D9"/>
    <w:rsid w:val="007034DF"/>
    <w:rsid w:val="00707BE0"/>
    <w:rsid w:val="00751854"/>
    <w:rsid w:val="00760D60"/>
    <w:rsid w:val="007663E5"/>
    <w:rsid w:val="0077221F"/>
    <w:rsid w:val="007A056D"/>
    <w:rsid w:val="007A0F38"/>
    <w:rsid w:val="007B18A7"/>
    <w:rsid w:val="007C7E18"/>
    <w:rsid w:val="00812A6A"/>
    <w:rsid w:val="0084132F"/>
    <w:rsid w:val="00854B04"/>
    <w:rsid w:val="00860AE5"/>
    <w:rsid w:val="008B4E6C"/>
    <w:rsid w:val="00904CD3"/>
    <w:rsid w:val="00905271"/>
    <w:rsid w:val="00911FD2"/>
    <w:rsid w:val="009249A6"/>
    <w:rsid w:val="009878E6"/>
    <w:rsid w:val="009D1BF8"/>
    <w:rsid w:val="00A420CA"/>
    <w:rsid w:val="00A4720F"/>
    <w:rsid w:val="00A57659"/>
    <w:rsid w:val="00A62172"/>
    <w:rsid w:val="00A731CC"/>
    <w:rsid w:val="00A95138"/>
    <w:rsid w:val="00AB5425"/>
    <w:rsid w:val="00AC7D9B"/>
    <w:rsid w:val="00AD57EE"/>
    <w:rsid w:val="00AD66D0"/>
    <w:rsid w:val="00AE1057"/>
    <w:rsid w:val="00AE12E1"/>
    <w:rsid w:val="00AE1939"/>
    <w:rsid w:val="00AF5DED"/>
    <w:rsid w:val="00B12DC3"/>
    <w:rsid w:val="00B26BDF"/>
    <w:rsid w:val="00B5367C"/>
    <w:rsid w:val="00B66679"/>
    <w:rsid w:val="00B750B9"/>
    <w:rsid w:val="00B87610"/>
    <w:rsid w:val="00B901B9"/>
    <w:rsid w:val="00B95B1D"/>
    <w:rsid w:val="00BB7647"/>
    <w:rsid w:val="00BC651F"/>
    <w:rsid w:val="00C661B8"/>
    <w:rsid w:val="00C8137A"/>
    <w:rsid w:val="00C950A6"/>
    <w:rsid w:val="00CE37EA"/>
    <w:rsid w:val="00CE460C"/>
    <w:rsid w:val="00D3317F"/>
    <w:rsid w:val="00D555C4"/>
    <w:rsid w:val="00D6657A"/>
    <w:rsid w:val="00D701E1"/>
    <w:rsid w:val="00D70F60"/>
    <w:rsid w:val="00DA39FB"/>
    <w:rsid w:val="00DC5096"/>
    <w:rsid w:val="00E24327"/>
    <w:rsid w:val="00E376DF"/>
    <w:rsid w:val="00E50FA0"/>
    <w:rsid w:val="00EA6863"/>
    <w:rsid w:val="00EF10E6"/>
    <w:rsid w:val="00F05EB5"/>
    <w:rsid w:val="00F1332C"/>
    <w:rsid w:val="00F20840"/>
    <w:rsid w:val="00F35A0C"/>
    <w:rsid w:val="00F539E4"/>
    <w:rsid w:val="00F838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7F202A-224C-4F86-BCF1-03124E2C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val="it-IT" w:eastAsia="it-IT"/>
    </w:rPr>
  </w:style>
  <w:style w:type="paragraph" w:styleId="Nadpis1">
    <w:name w:val="heading 1"/>
    <w:basedOn w:val="Normln"/>
    <w:next w:val="Normln"/>
    <w:qFormat/>
    <w:pPr>
      <w:keepNext/>
      <w:ind w:right="-334"/>
      <w:jc w:val="center"/>
      <w:outlineLvl w:val="0"/>
    </w:pPr>
    <w:rPr>
      <w:rFonts w:ascii="Arial" w:hAnsi="Arial" w:cs="Arial"/>
      <w:b/>
      <w:color w:val="FF0000"/>
      <w:sz w:val="22"/>
      <w:u w:val="single"/>
      <w:lang w:val="en-GB"/>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153"/>
        <w:tab w:val="right" w:pos="8306"/>
      </w:tabs>
    </w:pPr>
    <w:rPr>
      <w:lang w:val="en-GB" w:eastAsia="en-US"/>
    </w:rPr>
  </w:style>
  <w:style w:type="paragraph" w:styleId="Zkladntext">
    <w:name w:val="Body Text"/>
    <w:basedOn w:val="Normln"/>
    <w:rPr>
      <w:rFonts w:ascii="Arial Narrow" w:hAnsi="Arial Narrow"/>
      <w:sz w:val="22"/>
      <w:lang w:val="en-GB" w:eastAsia="en-US"/>
    </w:rPr>
  </w:style>
  <w:style w:type="paragraph" w:styleId="Zpat">
    <w:name w:val="footer"/>
    <w:basedOn w:val="Normln"/>
    <w:pPr>
      <w:tabs>
        <w:tab w:val="center" w:pos="4153"/>
        <w:tab w:val="right" w:pos="8306"/>
      </w:tabs>
    </w:pPr>
    <w:rPr>
      <w:lang w:val="en-GB" w:eastAsia="en-US"/>
    </w:rPr>
  </w:style>
  <w:style w:type="character" w:styleId="Hypertextovodkaz">
    <w:name w:val="Hyperlink"/>
    <w:rPr>
      <w:color w:val="0000FF"/>
      <w:u w:val="single"/>
    </w:rPr>
  </w:style>
  <w:style w:type="character" w:customStyle="1" w:styleId="tdtitle1">
    <w:name w:val="tdtitle1"/>
    <w:rsid w:val="007A0F38"/>
    <w:rPr>
      <w:rFonts w:ascii="Verdana" w:hAnsi="Verdana" w:hint="default"/>
      <w:b/>
      <w:bCs/>
      <w:i w:val="0"/>
      <w:iCs w:val="0"/>
      <w:sz w:val="16"/>
      <w:szCs w:val="16"/>
    </w:rPr>
  </w:style>
  <w:style w:type="character" w:styleId="Sledovanodkaz">
    <w:name w:val="FollowedHyperlink"/>
    <w:rsid w:val="00E50FA0"/>
    <w:rPr>
      <w:color w:val="800080"/>
      <w:u w:val="single"/>
    </w:rPr>
  </w:style>
  <w:style w:type="paragraph" w:styleId="Revize">
    <w:name w:val="Revision"/>
    <w:hidden/>
    <w:uiPriority w:val="99"/>
    <w:semiHidden/>
    <w:rsid w:val="00213533"/>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9124">
      <w:bodyDiv w:val="1"/>
      <w:marLeft w:val="0"/>
      <w:marRight w:val="0"/>
      <w:marTop w:val="0"/>
      <w:marBottom w:val="0"/>
      <w:divBdr>
        <w:top w:val="none" w:sz="0" w:space="0" w:color="auto"/>
        <w:left w:val="none" w:sz="0" w:space="0" w:color="auto"/>
        <w:bottom w:val="none" w:sz="0" w:space="0" w:color="auto"/>
        <w:right w:val="none" w:sz="0" w:space="0" w:color="auto"/>
      </w:divBdr>
    </w:div>
    <w:div w:id="12008258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3305</Characters>
  <Application>Microsoft Office Word</Application>
  <DocSecurity>0</DocSecurity>
  <Lines>27</Lines>
  <Paragraphs>7</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International Partnering Event on Health and Food</vt:lpstr>
      <vt:lpstr>International Partnering Event on Health and Food</vt:lpstr>
      <vt:lpstr>International Partnering Event on Health and Food</vt:lpstr>
    </vt:vector>
  </TitlesOfParts>
  <Company>TU Graz</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Partnering Event on Health and Food</dc:title>
  <dc:subject/>
  <dc:creator>buonocore</dc:creator>
  <cp:keywords/>
  <cp:lastModifiedBy>Jiří Pinkas</cp:lastModifiedBy>
  <cp:revision>2</cp:revision>
  <cp:lastPrinted>2003-09-08T15:44:00Z</cp:lastPrinted>
  <dcterms:created xsi:type="dcterms:W3CDTF">2022-01-14T13:48:00Z</dcterms:created>
  <dcterms:modified xsi:type="dcterms:W3CDTF">2022-01-14T13:48:00Z</dcterms:modified>
</cp:coreProperties>
</file>