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FDE9" w14:textId="77777777" w:rsidR="00A13981" w:rsidRPr="00CD202D" w:rsidRDefault="00A13981" w:rsidP="009E6894">
      <w:pPr>
        <w:spacing w:line="360" w:lineRule="auto"/>
        <w:jc w:val="center"/>
        <w:rPr>
          <w:b/>
          <w:color w:val="000000"/>
          <w:sz w:val="28"/>
          <w:szCs w:val="28"/>
        </w:rPr>
      </w:pPr>
      <w:r w:rsidRPr="00CD202D">
        <w:rPr>
          <w:b/>
          <w:color w:val="000000"/>
          <w:sz w:val="28"/>
          <w:szCs w:val="28"/>
        </w:rPr>
        <w:t xml:space="preserve">Test aktivity </w:t>
      </w:r>
      <w:r w:rsidR="00E42BCF" w:rsidRPr="00CD202D">
        <w:rPr>
          <w:b/>
          <w:color w:val="000000"/>
          <w:sz w:val="28"/>
          <w:szCs w:val="28"/>
        </w:rPr>
        <w:t xml:space="preserve">a cytotoxicity </w:t>
      </w:r>
      <w:r w:rsidRPr="00CD202D">
        <w:rPr>
          <w:b/>
          <w:color w:val="000000"/>
          <w:sz w:val="28"/>
          <w:szCs w:val="28"/>
        </w:rPr>
        <w:t>lymfocytů</w:t>
      </w:r>
    </w:p>
    <w:p w14:paraId="64818F83" w14:textId="77777777" w:rsidR="0097393F" w:rsidRPr="001215BC" w:rsidRDefault="0097393F" w:rsidP="009E6894">
      <w:pPr>
        <w:spacing w:line="360" w:lineRule="auto"/>
        <w:jc w:val="center"/>
        <w:rPr>
          <w:b/>
          <w:color w:val="000000"/>
        </w:rPr>
      </w:pPr>
    </w:p>
    <w:p w14:paraId="596B7373" w14:textId="77777777" w:rsidR="00A13981" w:rsidRPr="001215BC" w:rsidRDefault="001215BC" w:rsidP="009E6894">
      <w:pPr>
        <w:spacing w:line="360" w:lineRule="auto"/>
        <w:jc w:val="both"/>
        <w:rPr>
          <w:color w:val="000000"/>
        </w:rPr>
      </w:pPr>
      <w:r w:rsidRPr="001215BC">
        <w:rPr>
          <w:b/>
          <w:color w:val="000000"/>
        </w:rPr>
        <w:t xml:space="preserve">Teorie: </w:t>
      </w:r>
      <w:r w:rsidR="00A13981" w:rsidRPr="001215BC">
        <w:rPr>
          <w:color w:val="000000"/>
        </w:rPr>
        <w:t xml:space="preserve">Proliferace je jedním z fyziologických jevů buněčné aktivace. </w:t>
      </w:r>
      <w:r w:rsidR="001D345B">
        <w:rPr>
          <w:color w:val="000000"/>
        </w:rPr>
        <w:t>Existuje několik způsobů zjišťování aktivity lymfocytů. Jedna z nejznámějších je p</w:t>
      </w:r>
      <w:r w:rsidR="00A13981" w:rsidRPr="001215BC">
        <w:rPr>
          <w:color w:val="000000"/>
        </w:rPr>
        <w:t xml:space="preserve">oužitím radioaktivně značeného </w:t>
      </w:r>
      <w:proofErr w:type="spellStart"/>
      <w:r w:rsidR="00A13981" w:rsidRPr="001215BC">
        <w:rPr>
          <w:color w:val="000000"/>
        </w:rPr>
        <w:t>thymidinu</w:t>
      </w:r>
      <w:proofErr w:type="spellEnd"/>
      <w:r w:rsidR="00A13981" w:rsidRPr="001215BC">
        <w:rPr>
          <w:color w:val="000000"/>
        </w:rPr>
        <w:t xml:space="preserve"> (</w:t>
      </w:r>
      <w:proofErr w:type="gramStart"/>
      <w:r w:rsidR="00A13981" w:rsidRPr="001215BC">
        <w:rPr>
          <w:color w:val="000000"/>
          <w:vertAlign w:val="superscript"/>
        </w:rPr>
        <w:t>3</w:t>
      </w:r>
      <w:r w:rsidR="00A13981" w:rsidRPr="001215BC">
        <w:rPr>
          <w:color w:val="000000"/>
        </w:rPr>
        <w:t>H</w:t>
      </w:r>
      <w:proofErr w:type="gramEnd"/>
      <w:r w:rsidR="00A13981" w:rsidRPr="001215BC">
        <w:rPr>
          <w:color w:val="000000"/>
        </w:rPr>
        <w:t>-thymidin)</w:t>
      </w:r>
      <w:r w:rsidR="001D345B">
        <w:rPr>
          <w:color w:val="000000"/>
        </w:rPr>
        <w:t>, kdy</w:t>
      </w:r>
      <w:r w:rsidR="00A13981" w:rsidRPr="001215BC">
        <w:rPr>
          <w:color w:val="000000"/>
        </w:rPr>
        <w:t xml:space="preserve"> jsme schopni v laboratoři proliferaci lymfocytů kvantitativně vyšetřit, neboť </w:t>
      </w:r>
      <w:proofErr w:type="spellStart"/>
      <w:r w:rsidR="00A13981" w:rsidRPr="001215BC">
        <w:rPr>
          <w:color w:val="000000"/>
        </w:rPr>
        <w:t>thymidin</w:t>
      </w:r>
      <w:proofErr w:type="spellEnd"/>
      <w:r w:rsidR="00A13981" w:rsidRPr="001215BC">
        <w:rPr>
          <w:color w:val="000000"/>
        </w:rPr>
        <w:t xml:space="preserve"> se zabuduje do DNA dělících se buněk a takto je označí.</w:t>
      </w:r>
      <w:r w:rsidR="000A3190" w:rsidRPr="001215BC">
        <w:rPr>
          <w:color w:val="000000"/>
        </w:rPr>
        <w:t xml:space="preserve"> </w:t>
      </w:r>
      <w:r w:rsidR="00546E20" w:rsidRPr="001215BC">
        <w:rPr>
          <w:color w:val="000000"/>
        </w:rPr>
        <w:t xml:space="preserve">Tvorba nové DNA je úměrná množství buněčných dělení. </w:t>
      </w:r>
      <w:r w:rsidR="000A3190" w:rsidRPr="001D345B">
        <w:rPr>
          <w:b/>
          <w:color w:val="000000"/>
        </w:rPr>
        <w:t xml:space="preserve">Další variantou pro rychlé stanovení proliferace a cytotoxicity savčích buněk je stanovení množství buněčného ATP (adenosin </w:t>
      </w:r>
      <w:proofErr w:type="spellStart"/>
      <w:r w:rsidR="000A3190" w:rsidRPr="001D345B">
        <w:rPr>
          <w:b/>
          <w:color w:val="000000"/>
        </w:rPr>
        <w:t>trifosfát</w:t>
      </w:r>
      <w:proofErr w:type="spellEnd"/>
      <w:r w:rsidR="000A3190" w:rsidRPr="001D345B">
        <w:rPr>
          <w:b/>
          <w:color w:val="000000"/>
        </w:rPr>
        <w:t>).</w:t>
      </w:r>
      <w:r w:rsidR="000A3190" w:rsidRPr="001215BC">
        <w:rPr>
          <w:color w:val="000000"/>
        </w:rPr>
        <w:t xml:space="preserve"> Tento test nahrazuje inkorporaci </w:t>
      </w:r>
      <w:r w:rsidR="000A3190" w:rsidRPr="001402EB">
        <w:rPr>
          <w:color w:val="000000"/>
          <w:vertAlign w:val="superscript"/>
        </w:rPr>
        <w:t>3</w:t>
      </w:r>
      <w:r w:rsidR="000A3190" w:rsidRPr="001215BC">
        <w:rPr>
          <w:color w:val="000000"/>
        </w:rPr>
        <w:t xml:space="preserve">H </w:t>
      </w:r>
      <w:proofErr w:type="spellStart"/>
      <w:proofErr w:type="gramStart"/>
      <w:r w:rsidR="000A3190" w:rsidRPr="001215BC">
        <w:rPr>
          <w:color w:val="000000"/>
        </w:rPr>
        <w:t>thymidinu</w:t>
      </w:r>
      <w:proofErr w:type="spellEnd"/>
      <w:r w:rsidR="000A3190" w:rsidRPr="001215BC">
        <w:rPr>
          <w:color w:val="000000"/>
        </w:rPr>
        <w:t>.</w:t>
      </w:r>
      <w:r w:rsidR="00A13981" w:rsidRPr="001215BC">
        <w:rPr>
          <w:color w:val="000000"/>
        </w:rPr>
        <w:t>.</w:t>
      </w:r>
      <w:proofErr w:type="gramEnd"/>
      <w:r w:rsidR="00A13981" w:rsidRPr="001215BC">
        <w:rPr>
          <w:color w:val="000000"/>
        </w:rPr>
        <w:t xml:space="preserve"> </w:t>
      </w:r>
    </w:p>
    <w:p w14:paraId="0A38DAF9" w14:textId="77777777" w:rsidR="00A13981" w:rsidRPr="001215BC" w:rsidRDefault="00A13981" w:rsidP="009E6894">
      <w:pPr>
        <w:spacing w:line="360" w:lineRule="auto"/>
        <w:jc w:val="both"/>
        <w:rPr>
          <w:color w:val="000000"/>
        </w:rPr>
      </w:pPr>
      <w:r w:rsidRPr="001215BC">
        <w:rPr>
          <w:color w:val="000000"/>
        </w:rPr>
        <w:t xml:space="preserve">K dělení můžeme lymfocyty stimulovat in vitro </w:t>
      </w:r>
      <w:proofErr w:type="spellStart"/>
      <w:r w:rsidRPr="001215BC">
        <w:rPr>
          <w:color w:val="000000"/>
        </w:rPr>
        <w:t>polyklonálně</w:t>
      </w:r>
      <w:proofErr w:type="spellEnd"/>
      <w:r w:rsidRPr="001215BC">
        <w:rPr>
          <w:color w:val="000000"/>
        </w:rPr>
        <w:t xml:space="preserve"> </w:t>
      </w:r>
      <w:proofErr w:type="gramStart"/>
      <w:r w:rsidRPr="001215BC">
        <w:rPr>
          <w:color w:val="000000"/>
        </w:rPr>
        <w:t>a nebo</w:t>
      </w:r>
      <w:proofErr w:type="gramEnd"/>
      <w:r w:rsidRPr="001215BC">
        <w:rPr>
          <w:color w:val="000000"/>
        </w:rPr>
        <w:t xml:space="preserve"> specificky. </w:t>
      </w:r>
      <w:proofErr w:type="spellStart"/>
      <w:r w:rsidRPr="001215BC">
        <w:rPr>
          <w:color w:val="000000"/>
        </w:rPr>
        <w:t>Lektiny</w:t>
      </w:r>
      <w:proofErr w:type="spellEnd"/>
      <w:r w:rsidRPr="001215BC">
        <w:rPr>
          <w:color w:val="000000"/>
        </w:rPr>
        <w:t xml:space="preserve">, rostlinné proteiny vážící se na membránové glykoproteiny buňky, působí jako </w:t>
      </w:r>
      <w:proofErr w:type="spellStart"/>
      <w:r w:rsidRPr="001215BC">
        <w:rPr>
          <w:color w:val="000000"/>
        </w:rPr>
        <w:t>polyklonální</w:t>
      </w:r>
      <w:proofErr w:type="spellEnd"/>
      <w:r w:rsidRPr="001215BC">
        <w:rPr>
          <w:color w:val="000000"/>
        </w:rPr>
        <w:t xml:space="preserve"> mitogeny. Aktivují lymfocyt nezávisle na jeho antigenní specificitě. Pro stimulaci T-buněk se používají </w:t>
      </w:r>
      <w:proofErr w:type="spellStart"/>
      <w:r w:rsidR="00B50E59">
        <w:rPr>
          <w:color w:val="000000"/>
        </w:rPr>
        <w:t>p</w:t>
      </w:r>
      <w:r w:rsidRPr="001215BC">
        <w:rPr>
          <w:color w:val="000000"/>
        </w:rPr>
        <w:t>hytohemaglutinin</w:t>
      </w:r>
      <w:proofErr w:type="spellEnd"/>
      <w:r w:rsidRPr="001215BC">
        <w:rPr>
          <w:color w:val="000000"/>
        </w:rPr>
        <w:t xml:space="preserve"> (PHA) a </w:t>
      </w:r>
      <w:proofErr w:type="spellStart"/>
      <w:r w:rsidRPr="001215BC">
        <w:rPr>
          <w:color w:val="000000"/>
        </w:rPr>
        <w:t>konkavalin</w:t>
      </w:r>
      <w:proofErr w:type="spellEnd"/>
      <w:r w:rsidRPr="001215BC">
        <w:rPr>
          <w:color w:val="000000"/>
        </w:rPr>
        <w:t xml:space="preserve"> A (Con A), k aktivaci B-buněk pak </w:t>
      </w:r>
      <w:proofErr w:type="spellStart"/>
      <w:r w:rsidRPr="001215BC">
        <w:rPr>
          <w:color w:val="000000"/>
        </w:rPr>
        <w:t>pokeweed</w:t>
      </w:r>
      <w:proofErr w:type="spellEnd"/>
      <w:r w:rsidRPr="001215BC">
        <w:rPr>
          <w:color w:val="000000"/>
        </w:rPr>
        <w:t xml:space="preserve"> mitogen (PWM). Monoklonálních protilátek lze také použít, příkladem může být anti-CD3 protilátka. Tetanického toxoidu (antigenu) využíváme ke specifické stimulaci, podobně též </w:t>
      </w:r>
      <w:r w:rsidRPr="00B50E59">
        <w:rPr>
          <w:i/>
          <w:color w:val="000000"/>
        </w:rPr>
        <w:t>E.</w:t>
      </w:r>
      <w:r w:rsidR="00B50E59" w:rsidRPr="00B50E59">
        <w:rPr>
          <w:i/>
          <w:color w:val="000000"/>
        </w:rPr>
        <w:t xml:space="preserve"> </w:t>
      </w:r>
      <w:r w:rsidRPr="00B50E59">
        <w:rPr>
          <w:i/>
          <w:color w:val="000000"/>
        </w:rPr>
        <w:t>coli</w:t>
      </w:r>
      <w:r w:rsidRPr="001215BC">
        <w:rPr>
          <w:color w:val="000000"/>
        </w:rPr>
        <w:t xml:space="preserve"> nebo tuberkulinu. Přítomnost buněk prezentujících antigen, jako jsou monocyty, je zde nezbytná.</w:t>
      </w:r>
      <w:r w:rsidR="001D345B">
        <w:rPr>
          <w:color w:val="000000"/>
        </w:rPr>
        <w:t xml:space="preserve"> V našem cvičení nebudeme lymfocyty stimulovat, ale změříme jen jejich aktivitu bez přidání stimulujících látek.</w:t>
      </w:r>
    </w:p>
    <w:p w14:paraId="42352DEA" w14:textId="77777777" w:rsidR="00540224" w:rsidRPr="001215BC" w:rsidRDefault="00540224" w:rsidP="00540224">
      <w:pPr>
        <w:spacing w:line="360" w:lineRule="auto"/>
        <w:jc w:val="center"/>
        <w:rPr>
          <w:b/>
          <w:color w:val="000000"/>
        </w:rPr>
      </w:pPr>
      <w:r w:rsidRPr="001215BC">
        <w:rPr>
          <w:b/>
          <w:color w:val="000000"/>
        </w:rPr>
        <w:t>Technický přehled</w:t>
      </w:r>
    </w:p>
    <w:p w14:paraId="0D2F5156" w14:textId="77777777" w:rsidR="00540224" w:rsidRPr="001215BC" w:rsidRDefault="00540224" w:rsidP="00540224">
      <w:pPr>
        <w:spacing w:line="360" w:lineRule="auto"/>
        <w:jc w:val="both"/>
        <w:rPr>
          <w:b/>
          <w:color w:val="000000"/>
        </w:rPr>
      </w:pPr>
    </w:p>
    <w:p w14:paraId="6B501639" w14:textId="77777777" w:rsidR="00540224" w:rsidRPr="001215BC" w:rsidRDefault="00540224" w:rsidP="00540224">
      <w:pPr>
        <w:spacing w:line="360" w:lineRule="auto"/>
        <w:jc w:val="both"/>
        <w:rPr>
          <w:color w:val="000000"/>
        </w:rPr>
      </w:pPr>
      <w:r w:rsidRPr="001215BC">
        <w:rPr>
          <w:color w:val="000000"/>
        </w:rPr>
        <w:t xml:space="preserve">Tento </w:t>
      </w:r>
      <w:proofErr w:type="spellStart"/>
      <w:r w:rsidRPr="001215BC">
        <w:rPr>
          <w:color w:val="000000"/>
        </w:rPr>
        <w:t>kit</w:t>
      </w:r>
      <w:proofErr w:type="spellEnd"/>
      <w:r w:rsidRPr="001215BC">
        <w:rPr>
          <w:color w:val="000000"/>
        </w:rPr>
        <w:t xml:space="preserve"> </w:t>
      </w:r>
      <w:r>
        <w:rPr>
          <w:color w:val="000000"/>
        </w:rPr>
        <w:t>(</w:t>
      </w:r>
      <w:proofErr w:type="spellStart"/>
      <w:r>
        <w:rPr>
          <w:color w:val="000000"/>
        </w:rPr>
        <w:t>BioThema</w:t>
      </w:r>
      <w:proofErr w:type="spellEnd"/>
      <w:r>
        <w:rPr>
          <w:color w:val="000000"/>
        </w:rPr>
        <w:t xml:space="preserve">) </w:t>
      </w:r>
      <w:r w:rsidRPr="001215BC">
        <w:rPr>
          <w:color w:val="000000"/>
        </w:rPr>
        <w:t xml:space="preserve">se dá použít pro detekci bioluminiscence </w:t>
      </w:r>
      <w:proofErr w:type="spellStart"/>
      <w:r w:rsidRPr="001215BC">
        <w:rPr>
          <w:color w:val="000000"/>
        </w:rPr>
        <w:t>adenozin</w:t>
      </w:r>
      <w:proofErr w:type="spellEnd"/>
      <w:r w:rsidRPr="001215BC">
        <w:rPr>
          <w:color w:val="000000"/>
        </w:rPr>
        <w:t xml:space="preserve"> 5´-trifosfátu (ATP) uvolněného ze suspenze živých somatických buněk. Koncentrace buněk se dá vypočítat za předpokladu, že se množství ATP na každou buňku příliš nemění. Množství živých somatických buněk se počítá selektivně, protože, když buňka zemře, její ATP se významně sníží.</w:t>
      </w:r>
    </w:p>
    <w:p w14:paraId="7A717B92" w14:textId="77777777" w:rsidR="00540224" w:rsidRPr="001215BC" w:rsidRDefault="00540224" w:rsidP="00540224">
      <w:pPr>
        <w:spacing w:line="360" w:lineRule="auto"/>
        <w:jc w:val="both"/>
        <w:rPr>
          <w:color w:val="000000"/>
        </w:rPr>
      </w:pPr>
      <w:r w:rsidRPr="001215BC">
        <w:rPr>
          <w:color w:val="000000"/>
        </w:rPr>
        <w:t xml:space="preserve">Obecně vzato, živá somatická buňka obsahuje 1 </w:t>
      </w:r>
      <w:proofErr w:type="spellStart"/>
      <w:r w:rsidRPr="001215BC">
        <w:rPr>
          <w:color w:val="000000"/>
        </w:rPr>
        <w:t>pikogram</w:t>
      </w:r>
      <w:proofErr w:type="spellEnd"/>
      <w:r w:rsidRPr="001215BC">
        <w:rPr>
          <w:color w:val="000000"/>
        </w:rPr>
        <w:t xml:space="preserve"> (10</w:t>
      </w:r>
      <w:r w:rsidRPr="001215BC">
        <w:rPr>
          <w:color w:val="000000"/>
          <w:vertAlign w:val="superscript"/>
        </w:rPr>
        <w:t>-</w:t>
      </w:r>
      <w:smartTag w:uri="urn:schemas-microsoft-com:office:smarttags" w:element="metricconverter">
        <w:smartTagPr>
          <w:attr w:name="ProductID" w:val="12 gramů"/>
        </w:smartTagPr>
        <w:r w:rsidRPr="001215BC">
          <w:rPr>
            <w:color w:val="000000"/>
            <w:vertAlign w:val="superscript"/>
          </w:rPr>
          <w:t>12</w:t>
        </w:r>
        <w:r w:rsidRPr="001215BC">
          <w:rPr>
            <w:color w:val="000000"/>
          </w:rPr>
          <w:t xml:space="preserve"> gramů</w:t>
        </w:r>
      </w:smartTag>
      <w:r w:rsidRPr="001215BC">
        <w:rPr>
          <w:color w:val="000000"/>
        </w:rPr>
        <w:t xml:space="preserve">) nebo 2 </w:t>
      </w:r>
      <w:proofErr w:type="spellStart"/>
      <w:r w:rsidRPr="001215BC">
        <w:rPr>
          <w:color w:val="000000"/>
        </w:rPr>
        <w:t>femtomoly</w:t>
      </w:r>
      <w:proofErr w:type="spellEnd"/>
      <w:r w:rsidRPr="001215BC">
        <w:rPr>
          <w:color w:val="000000"/>
        </w:rPr>
        <w:t xml:space="preserve"> (2 x 10</w:t>
      </w:r>
      <w:r w:rsidRPr="001215BC">
        <w:rPr>
          <w:color w:val="000000"/>
          <w:vertAlign w:val="superscript"/>
        </w:rPr>
        <w:t>-15</w:t>
      </w:r>
      <w:r w:rsidRPr="001215BC">
        <w:rPr>
          <w:color w:val="000000"/>
        </w:rPr>
        <w:t xml:space="preserve"> molů) ATP. Přesnější údaj pro určitou buněčnou linii a růstové médium lze získat z literatury nebo obarvením a počítáním živých buněk. ATP živé somatické buňky může být definován jako:</w:t>
      </w:r>
    </w:p>
    <w:p w14:paraId="6E9E7B69" w14:textId="77777777" w:rsidR="00540224" w:rsidRPr="001215BC" w:rsidRDefault="00540224" w:rsidP="00540224">
      <w:pPr>
        <w:spacing w:line="360" w:lineRule="auto"/>
        <w:jc w:val="both"/>
        <w:rPr>
          <w:color w:val="000000"/>
        </w:rPr>
      </w:pPr>
      <w:r w:rsidRPr="001215BC">
        <w:rPr>
          <w:color w:val="000000"/>
        </w:rPr>
        <w:t xml:space="preserve">              </w:t>
      </w:r>
      <w:r>
        <w:rPr>
          <w:color w:val="000000"/>
        </w:rPr>
        <w:t xml:space="preserve">                               </w:t>
      </w:r>
    </w:p>
    <w:p w14:paraId="50F15039" w14:textId="77777777" w:rsidR="00540224" w:rsidRPr="001215BC" w:rsidRDefault="00540224" w:rsidP="00540224">
      <w:pPr>
        <w:spacing w:line="360" w:lineRule="auto"/>
        <w:jc w:val="both"/>
        <w:rPr>
          <w:color w:val="000000"/>
        </w:rPr>
      </w:pPr>
      <w:r>
        <w:rPr>
          <w:color w:val="000000"/>
        </w:rPr>
        <w:t>ATP + D-luciferin</w:t>
      </w:r>
      <w:r w:rsidRPr="001215BC">
        <w:rPr>
          <w:color w:val="000000"/>
        </w:rPr>
        <w:t xml:space="preserve"> + O</w:t>
      </w:r>
      <w:r w:rsidRPr="00BA672B">
        <w:rPr>
          <w:color w:val="000000"/>
          <w:vertAlign w:val="subscript"/>
        </w:rPr>
        <w:t>2</w:t>
      </w:r>
      <w:r w:rsidRPr="001215BC">
        <w:rPr>
          <w:color w:val="000000"/>
        </w:rPr>
        <w:t xml:space="preserve"> </w:t>
      </w:r>
      <w:r w:rsidR="005B44E8" w:rsidRPr="001215BC">
        <w:rPr>
          <w:noProof/>
          <w:color w:val="000000"/>
        </w:rPr>
        <mc:AlternateContent>
          <mc:Choice Requires="wps">
            <w:drawing>
              <wp:inline distT="0" distB="0" distL="0" distR="0" wp14:anchorId="135DFE26" wp14:editId="17EBC5A8">
                <wp:extent cx="342900" cy="635"/>
                <wp:effectExtent l="7620" t="57150" r="20955" b="57150"/>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DB7C5D8" id="Line 19" o:spid="_x0000_s1026" style="visibility:visible;mso-wrap-style:square;mso-left-percent:-10001;mso-top-percent:-10001;mso-position-horizontal:absolute;mso-position-horizontal-relative:char;mso-position-vertical:absolute;mso-position-vertical-relative:line;mso-left-percent:-10001;mso-top-percent:-10001" from="0,0" to="2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g3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">
                <v:stroke endarrow="block"/>
                <w10:anchorlock/>
              </v:line>
            </w:pict>
          </mc:Fallback>
        </mc:AlternateContent>
      </w:r>
      <w:r w:rsidRPr="001215BC">
        <w:rPr>
          <w:color w:val="000000"/>
        </w:rPr>
        <w:t xml:space="preserve"> </w:t>
      </w:r>
      <w:proofErr w:type="spellStart"/>
      <w:r w:rsidRPr="001215BC">
        <w:rPr>
          <w:color w:val="000000"/>
        </w:rPr>
        <w:t>Oxyluciferin</w:t>
      </w:r>
      <w:proofErr w:type="spellEnd"/>
      <w:r w:rsidRPr="001215BC">
        <w:rPr>
          <w:color w:val="000000"/>
        </w:rPr>
        <w:t xml:space="preserve"> + AMP + CO</w:t>
      </w:r>
      <w:r w:rsidRPr="001215BC">
        <w:rPr>
          <w:color w:val="000000"/>
          <w:vertAlign w:val="subscript"/>
        </w:rPr>
        <w:t>2</w:t>
      </w:r>
      <w:r w:rsidRPr="001215BC">
        <w:rPr>
          <w:color w:val="000000"/>
        </w:rPr>
        <w:t xml:space="preserve"> </w:t>
      </w:r>
      <w:r>
        <w:rPr>
          <w:color w:val="000000"/>
        </w:rPr>
        <w:t xml:space="preserve">+ </w:t>
      </w:r>
      <w:proofErr w:type="spellStart"/>
      <w:r>
        <w:rPr>
          <w:color w:val="000000"/>
        </w:rPr>
        <w:t>PPi</w:t>
      </w:r>
      <w:proofErr w:type="spellEnd"/>
      <w:r>
        <w:rPr>
          <w:color w:val="000000"/>
        </w:rPr>
        <w:t xml:space="preserve"> </w:t>
      </w:r>
      <w:r w:rsidRPr="001215BC">
        <w:rPr>
          <w:color w:val="000000"/>
        </w:rPr>
        <w:t xml:space="preserve">+ světlo </w:t>
      </w:r>
    </w:p>
    <w:p w14:paraId="549F75E5" w14:textId="77777777" w:rsidR="00540224" w:rsidRDefault="00540224" w:rsidP="00540224">
      <w:pPr>
        <w:spacing w:line="360" w:lineRule="auto"/>
        <w:jc w:val="both"/>
        <w:rPr>
          <w:color w:val="000000"/>
        </w:rPr>
      </w:pPr>
    </w:p>
    <w:p w14:paraId="047AAE35" w14:textId="77777777" w:rsidR="00540224" w:rsidRDefault="00540224" w:rsidP="00540224">
      <w:pPr>
        <w:spacing w:line="360" w:lineRule="auto"/>
        <w:jc w:val="both"/>
        <w:rPr>
          <w:color w:val="000000"/>
        </w:rPr>
      </w:pPr>
      <w:r w:rsidRPr="001215BC">
        <w:rPr>
          <w:color w:val="000000"/>
        </w:rPr>
        <w:lastRenderedPageBreak/>
        <w:t>Když je ATP limitujícím faktorem, vyzářené světlo je úměrné množství přítomného ATP, které je postupně úměrné počtu somatických buněk ve vzorku.</w:t>
      </w:r>
    </w:p>
    <w:p w14:paraId="7179DCD3" w14:textId="77777777" w:rsidR="00540224" w:rsidRDefault="00540224" w:rsidP="00540224">
      <w:pPr>
        <w:spacing w:line="360" w:lineRule="auto"/>
        <w:jc w:val="both"/>
        <w:rPr>
          <w:color w:val="000000"/>
        </w:rPr>
      </w:pPr>
    </w:p>
    <w:p w14:paraId="6B1985FB" w14:textId="77777777" w:rsidR="00540224" w:rsidRDefault="00540224" w:rsidP="00540224">
      <w:pPr>
        <w:spacing w:line="360" w:lineRule="auto"/>
        <w:jc w:val="both"/>
        <w:rPr>
          <w:color w:val="000000"/>
        </w:rPr>
      </w:pPr>
    </w:p>
    <w:p w14:paraId="4D35EDC9" w14:textId="77777777" w:rsidR="00540224" w:rsidRPr="00540224" w:rsidRDefault="00540224" w:rsidP="009E6894">
      <w:pPr>
        <w:spacing w:line="360" w:lineRule="auto"/>
        <w:jc w:val="both"/>
        <w:rPr>
          <w:color w:val="000000"/>
        </w:rPr>
      </w:pPr>
      <w:r w:rsidRPr="00EA00CC">
        <w:rPr>
          <w:color w:val="000000"/>
        </w:rPr>
        <w:t xml:space="preserve">Vzhledem k různým vlastnostem buněk (nejde o stoprocentně homogenní kulturu),  ne zcela přesně zjištěné koncentraci buněk pomocí počítání v </w:t>
      </w:r>
      <w:proofErr w:type="spellStart"/>
      <w:r w:rsidRPr="00EA00CC">
        <w:t>Bűrkerově</w:t>
      </w:r>
      <w:proofErr w:type="spellEnd"/>
      <w:r w:rsidRPr="00EA00CC">
        <w:t xml:space="preserve"> komůrce</w:t>
      </w:r>
      <w:r w:rsidRPr="00EA00CC">
        <w:rPr>
          <w:color w:val="000000"/>
        </w:rPr>
        <w:t xml:space="preserve"> (lidská chyba), eventuálním nepřesnostem při ředění apod. </w:t>
      </w:r>
      <w:r>
        <w:rPr>
          <w:b/>
          <w:color w:val="000000"/>
        </w:rPr>
        <w:t>slouží</w:t>
      </w:r>
      <w:r w:rsidRPr="003D0AAA">
        <w:rPr>
          <w:b/>
          <w:color w:val="000000"/>
        </w:rPr>
        <w:t xml:space="preserve"> </w:t>
      </w:r>
      <w:r>
        <w:rPr>
          <w:b/>
          <w:color w:val="000000"/>
        </w:rPr>
        <w:t>eventuálně vypočítané množství</w:t>
      </w:r>
      <w:r w:rsidRPr="00A60E2D">
        <w:rPr>
          <w:b/>
          <w:color w:val="000000"/>
        </w:rPr>
        <w:t xml:space="preserve"> ATP pouze </w:t>
      </w:r>
      <w:r>
        <w:rPr>
          <w:b/>
          <w:color w:val="000000"/>
        </w:rPr>
        <w:t>jako orientační údaj.</w:t>
      </w:r>
    </w:p>
    <w:p w14:paraId="28F01EBF" w14:textId="77777777" w:rsidR="00540224" w:rsidRPr="00540224" w:rsidRDefault="00540224" w:rsidP="009E6894">
      <w:pPr>
        <w:spacing w:line="360" w:lineRule="auto"/>
        <w:jc w:val="both"/>
        <w:rPr>
          <w:color w:val="000000"/>
        </w:rPr>
      </w:pPr>
    </w:p>
    <w:p w14:paraId="1ED8605A" w14:textId="77777777" w:rsidR="001402EB" w:rsidRDefault="00B50E59" w:rsidP="00897500">
      <w:pPr>
        <w:pStyle w:val="Nadpis2"/>
        <w:tabs>
          <w:tab w:val="left" w:pos="0"/>
          <w:tab w:val="left" w:pos="851"/>
        </w:tabs>
        <w:spacing w:line="360" w:lineRule="auto"/>
        <w:jc w:val="both"/>
        <w:rPr>
          <w:lang w:val="pl-PL"/>
        </w:rPr>
      </w:pPr>
      <w:r>
        <w:rPr>
          <w:sz w:val="24"/>
          <w:szCs w:val="24"/>
          <w:lang w:val="pl-PL"/>
        </w:rPr>
        <w:t xml:space="preserve">Cíl: </w:t>
      </w:r>
      <w:r w:rsidR="00897500" w:rsidRPr="00897500">
        <w:rPr>
          <w:b w:val="0"/>
          <w:sz w:val="24"/>
          <w:szCs w:val="24"/>
          <w:lang w:val="pl-PL"/>
        </w:rPr>
        <w:t>Testy aktivity  a cytotoxicity lymfocytů</w:t>
      </w:r>
    </w:p>
    <w:p w14:paraId="6DF523CD" w14:textId="77777777" w:rsidR="00897500" w:rsidRPr="00897500" w:rsidRDefault="00897500" w:rsidP="00897500">
      <w:pPr>
        <w:spacing w:line="360" w:lineRule="auto"/>
        <w:jc w:val="both"/>
        <w:rPr>
          <w:b/>
        </w:rPr>
      </w:pPr>
      <w:r w:rsidRPr="00897500">
        <w:rPr>
          <w:b/>
        </w:rPr>
        <w:t>V našem cvičení nebudeme lymfocyty stimulovat, ale A) změříme jen aktivitu bez přidání stimulujících látek – kontrola</w:t>
      </w:r>
    </w:p>
    <w:p w14:paraId="706B57C5" w14:textId="77777777" w:rsidR="00897500" w:rsidRDefault="00897500" w:rsidP="00897500">
      <w:pPr>
        <w:spacing w:line="360" w:lineRule="auto"/>
        <w:jc w:val="both"/>
        <w:rPr>
          <w:b/>
        </w:rPr>
      </w:pPr>
      <w:r>
        <w:rPr>
          <w:b/>
        </w:rPr>
        <w:t>B) měříme cytotoxici</w:t>
      </w:r>
      <w:r w:rsidRPr="00897500">
        <w:rPr>
          <w:b/>
        </w:rPr>
        <w:t xml:space="preserve">tu lymfocytů pomocí přidání </w:t>
      </w:r>
      <w:proofErr w:type="spellStart"/>
      <w:r w:rsidRPr="00897500">
        <w:rPr>
          <w:b/>
        </w:rPr>
        <w:t>urč</w:t>
      </w:r>
      <w:proofErr w:type="spellEnd"/>
      <w:r w:rsidRPr="00897500">
        <w:rPr>
          <w:b/>
        </w:rPr>
        <w:t>. Koncentrace koloidního stříbra</w:t>
      </w:r>
    </w:p>
    <w:p w14:paraId="61131AC6" w14:textId="77777777" w:rsidR="00DB2FE0" w:rsidRPr="00DB2FE0" w:rsidRDefault="00DB2FE0" w:rsidP="00897500">
      <w:pPr>
        <w:spacing w:line="360" w:lineRule="auto"/>
        <w:jc w:val="both"/>
        <w:rPr>
          <w:vertAlign w:val="subscript"/>
        </w:rPr>
      </w:pPr>
      <w:r>
        <w:rPr>
          <w:b/>
        </w:rPr>
        <w:t>Materiál</w:t>
      </w:r>
      <w:r w:rsidRPr="001215BC">
        <w:rPr>
          <w:b/>
        </w:rPr>
        <w:t>:</w:t>
      </w:r>
      <w:r>
        <w:t xml:space="preserve"> centrifuga</w:t>
      </w:r>
      <w:r w:rsidRPr="001215BC">
        <w:t xml:space="preserve">, komůrky na počítání buněk, </w:t>
      </w:r>
      <w:proofErr w:type="spellStart"/>
      <w:r w:rsidRPr="001215BC">
        <w:t>eppendorfky</w:t>
      </w:r>
      <w:proofErr w:type="spellEnd"/>
      <w:r w:rsidRPr="001215BC">
        <w:t xml:space="preserve">, </w:t>
      </w:r>
      <w:r>
        <w:t>zkumavky</w:t>
      </w:r>
      <w:r w:rsidRPr="001215BC">
        <w:t>, na</w:t>
      </w:r>
      <w:r>
        <w:t xml:space="preserve">stavitelné mikropipety a špičky, </w:t>
      </w:r>
      <w:r w:rsidRPr="001215BC">
        <w:t>0,87% NH</w:t>
      </w:r>
      <w:r w:rsidRPr="001215BC">
        <w:rPr>
          <w:vertAlign w:val="subscript"/>
        </w:rPr>
        <w:t>4</w:t>
      </w:r>
      <w:r w:rsidRPr="001215BC">
        <w:t>Cl, PBS roztok na uchování lymfocytů, myší slezina</w:t>
      </w:r>
    </w:p>
    <w:p w14:paraId="34F701A9" w14:textId="77777777" w:rsidR="00DB2FE0" w:rsidRPr="00DB2FE0" w:rsidRDefault="00DB2FE0" w:rsidP="001402EB"/>
    <w:p w14:paraId="0307812C" w14:textId="77777777" w:rsidR="00540224" w:rsidRDefault="00DB2FE0" w:rsidP="001402EB">
      <w:pPr>
        <w:rPr>
          <w:b/>
          <w:lang w:val="pl-PL"/>
        </w:rPr>
      </w:pPr>
      <w:r w:rsidRPr="00DB2FE0">
        <w:rPr>
          <w:b/>
          <w:lang w:val="pl-PL"/>
        </w:rPr>
        <w:t>Pracovní postup:</w:t>
      </w:r>
    </w:p>
    <w:p w14:paraId="51F3211E" w14:textId="77777777" w:rsidR="00DB2FE0" w:rsidRDefault="00DB2FE0" w:rsidP="00DB2FE0">
      <w:pPr>
        <w:pStyle w:val="Nadpis2"/>
        <w:tabs>
          <w:tab w:val="left" w:pos="0"/>
          <w:tab w:val="left" w:pos="851"/>
        </w:tabs>
        <w:spacing w:line="360" w:lineRule="auto"/>
        <w:jc w:val="both"/>
        <w:rPr>
          <w:sz w:val="24"/>
          <w:szCs w:val="24"/>
          <w:lang w:val="pl-PL"/>
        </w:rPr>
      </w:pPr>
    </w:p>
    <w:p w14:paraId="774A5536" w14:textId="77777777" w:rsidR="00055B96" w:rsidRDefault="00C13F54" w:rsidP="00DB2FE0">
      <w:pPr>
        <w:pStyle w:val="Nadpis2"/>
        <w:tabs>
          <w:tab w:val="left" w:pos="0"/>
          <w:tab w:val="left" w:pos="851"/>
        </w:tabs>
        <w:spacing w:line="360" w:lineRule="auto"/>
        <w:jc w:val="both"/>
        <w:rPr>
          <w:sz w:val="24"/>
          <w:szCs w:val="24"/>
        </w:rPr>
      </w:pPr>
      <w:r w:rsidRPr="001402EB">
        <w:rPr>
          <w:sz w:val="24"/>
          <w:szCs w:val="24"/>
        </w:rPr>
        <w:t>Izolace lymfocytů ze sleziny</w:t>
      </w:r>
      <w:r w:rsidR="004E3CBD" w:rsidRPr="001402EB">
        <w:rPr>
          <w:sz w:val="24"/>
          <w:szCs w:val="24"/>
        </w:rPr>
        <w:t xml:space="preserve"> myši</w:t>
      </w:r>
    </w:p>
    <w:p w14:paraId="79B3FD3D" w14:textId="77777777" w:rsidR="00F93CB6" w:rsidRPr="00F93CB6" w:rsidRDefault="00F93CB6" w:rsidP="00F93CB6"/>
    <w:p w14:paraId="0906FA7C" w14:textId="77777777" w:rsidR="00DB2FE0" w:rsidRDefault="00DB2FE0" w:rsidP="009E6894">
      <w:pPr>
        <w:spacing w:line="360" w:lineRule="auto"/>
        <w:jc w:val="both"/>
      </w:pPr>
      <w:r>
        <w:t>1. Vykrvit myši</w:t>
      </w:r>
      <w:r w:rsidR="00C13F54" w:rsidRPr="001215BC">
        <w:t xml:space="preserve"> krční tepnou a </w:t>
      </w:r>
      <w:r>
        <w:t xml:space="preserve">vyjmout slezinu. </w:t>
      </w:r>
    </w:p>
    <w:p w14:paraId="6BC41B1F" w14:textId="77777777" w:rsidR="00DB2FE0" w:rsidRDefault="00DB2FE0" w:rsidP="009E6894">
      <w:pPr>
        <w:spacing w:line="360" w:lineRule="auto"/>
        <w:jc w:val="both"/>
      </w:pPr>
      <w:r>
        <w:t xml:space="preserve">2. </w:t>
      </w:r>
      <w:r w:rsidR="00546E20" w:rsidRPr="001215BC">
        <w:t>Slezin</w:t>
      </w:r>
      <w:r>
        <w:t>u</w:t>
      </w:r>
      <w:r w:rsidR="00546E20" w:rsidRPr="001215BC">
        <w:t xml:space="preserve"> </w:t>
      </w:r>
      <w:r w:rsidR="00C13F54" w:rsidRPr="001215BC">
        <w:t>homogeniz</w:t>
      </w:r>
      <w:r>
        <w:t>ovat</w:t>
      </w:r>
      <w:r w:rsidR="00C13F54" w:rsidRPr="001215BC">
        <w:t xml:space="preserve"> v </w:t>
      </w:r>
      <w:r w:rsidR="00546E20" w:rsidRPr="001215BC">
        <w:t>PBS</w:t>
      </w:r>
      <w:r w:rsidR="00C13F54" w:rsidRPr="001215BC">
        <w:t xml:space="preserve">. </w:t>
      </w:r>
    </w:p>
    <w:p w14:paraId="5D515751" w14:textId="77777777" w:rsidR="00DB2FE0" w:rsidRDefault="00DB2FE0" w:rsidP="009E6894">
      <w:pPr>
        <w:spacing w:line="360" w:lineRule="auto"/>
        <w:jc w:val="both"/>
      </w:pPr>
      <w:r>
        <w:t xml:space="preserve">3. </w:t>
      </w:r>
      <w:r w:rsidR="00546E20" w:rsidRPr="001215BC">
        <w:t>Suspenzi buněk se z</w:t>
      </w:r>
      <w:r w:rsidR="00636796" w:rsidRPr="001215BC">
        <w:t xml:space="preserve">bytky sleziny </w:t>
      </w:r>
      <w:r>
        <w:t>opatrně přelít</w:t>
      </w:r>
      <w:r w:rsidR="007D2A01" w:rsidRPr="001215BC">
        <w:t xml:space="preserve"> </w:t>
      </w:r>
      <w:r>
        <w:t xml:space="preserve">přes gázu a </w:t>
      </w:r>
      <w:proofErr w:type="spellStart"/>
      <w:r>
        <w:t>c</w:t>
      </w:r>
      <w:r w:rsidR="00546E20" w:rsidRPr="001215BC">
        <w:t>entrifuguj</w:t>
      </w:r>
      <w:r>
        <w:t>ovat</w:t>
      </w:r>
      <w:proofErr w:type="spellEnd"/>
      <w:r w:rsidR="00546E20" w:rsidRPr="001215BC">
        <w:t xml:space="preserve"> 10 min při 1000 </w:t>
      </w:r>
      <w:proofErr w:type="spellStart"/>
      <w:r w:rsidR="00546E20" w:rsidRPr="001215BC">
        <w:t>ot</w:t>
      </w:r>
      <w:proofErr w:type="spellEnd"/>
      <w:r w:rsidR="00546E20" w:rsidRPr="001215BC">
        <w:t xml:space="preserve">/min. </w:t>
      </w:r>
    </w:p>
    <w:p w14:paraId="148F9D5D" w14:textId="77777777" w:rsidR="00DB2FE0" w:rsidRDefault="00DB2FE0" w:rsidP="009E6894">
      <w:pPr>
        <w:spacing w:line="360" w:lineRule="auto"/>
        <w:jc w:val="both"/>
      </w:pPr>
      <w:r>
        <w:t xml:space="preserve">4. </w:t>
      </w:r>
      <w:r w:rsidR="00546E20" w:rsidRPr="001215BC">
        <w:t xml:space="preserve">Sediment </w:t>
      </w:r>
      <w:proofErr w:type="spellStart"/>
      <w:r w:rsidR="00546E20" w:rsidRPr="001215BC">
        <w:t>resuspend</w:t>
      </w:r>
      <w:r>
        <w:t>ovat</w:t>
      </w:r>
      <w:proofErr w:type="spellEnd"/>
      <w:r w:rsidR="00546E20" w:rsidRPr="001215BC">
        <w:t xml:space="preserve"> v asi 300 </w:t>
      </w:r>
      <w:r w:rsidR="00546E20" w:rsidRPr="001215BC">
        <w:sym w:font="Symbol" w:char="F06D"/>
      </w:r>
      <w:r w:rsidR="00636796" w:rsidRPr="001215BC">
        <w:t>l</w:t>
      </w:r>
      <w:r w:rsidR="007D2A01" w:rsidRPr="001215BC">
        <w:t xml:space="preserve"> </w:t>
      </w:r>
      <w:r w:rsidR="00546E20" w:rsidRPr="001215BC">
        <w:t>NH</w:t>
      </w:r>
      <w:r w:rsidR="00546E20" w:rsidRPr="001215BC">
        <w:rPr>
          <w:vertAlign w:val="subscript"/>
        </w:rPr>
        <w:t>4</w:t>
      </w:r>
      <w:r w:rsidR="00546E20" w:rsidRPr="001215BC">
        <w:t>Cl</w:t>
      </w:r>
      <w:r>
        <w:t xml:space="preserve"> a</w:t>
      </w:r>
      <w:r w:rsidR="00546E20" w:rsidRPr="001215BC">
        <w:t xml:space="preserve"> </w:t>
      </w:r>
      <w:r>
        <w:t>c</w:t>
      </w:r>
      <w:r w:rsidR="00546E20" w:rsidRPr="001215BC">
        <w:t>entrifug</w:t>
      </w:r>
      <w:r>
        <w:t>ovat</w:t>
      </w:r>
      <w:r w:rsidR="00546E20" w:rsidRPr="001215BC">
        <w:t xml:space="preserve"> 10 min při 1500 </w:t>
      </w:r>
      <w:proofErr w:type="spellStart"/>
      <w:r w:rsidR="00546E20" w:rsidRPr="001215BC">
        <w:t>ot</w:t>
      </w:r>
      <w:proofErr w:type="spellEnd"/>
      <w:r w:rsidR="00546E20" w:rsidRPr="001215BC">
        <w:t>/min</w:t>
      </w:r>
      <w:r w:rsidR="00636796" w:rsidRPr="001215BC">
        <w:t>.</w:t>
      </w:r>
      <w:r w:rsidR="00546E20" w:rsidRPr="001215BC">
        <w:t xml:space="preserve"> </w:t>
      </w:r>
    </w:p>
    <w:p w14:paraId="6494B194" w14:textId="77777777" w:rsidR="00DB2FE0" w:rsidRDefault="00DB2FE0" w:rsidP="009E6894">
      <w:pPr>
        <w:spacing w:line="360" w:lineRule="auto"/>
        <w:jc w:val="both"/>
      </w:pPr>
      <w:r>
        <w:t xml:space="preserve">5. </w:t>
      </w:r>
      <w:r w:rsidR="00546E20" w:rsidRPr="001215BC">
        <w:t xml:space="preserve">Sediment </w:t>
      </w:r>
      <w:proofErr w:type="spellStart"/>
      <w:r w:rsidR="00546E20" w:rsidRPr="001215BC">
        <w:t>resuspend</w:t>
      </w:r>
      <w:r>
        <w:t>ovat</w:t>
      </w:r>
      <w:proofErr w:type="spellEnd"/>
      <w:r w:rsidR="00546E20" w:rsidRPr="001215BC">
        <w:t xml:space="preserve"> v asi 300 </w:t>
      </w:r>
      <w:r w:rsidR="00546E20" w:rsidRPr="001215BC">
        <w:sym w:font="Symbol" w:char="F06D"/>
      </w:r>
      <w:r w:rsidR="00636796" w:rsidRPr="001215BC">
        <w:t>l PBS</w:t>
      </w:r>
      <w:r>
        <w:t xml:space="preserve"> (3x).</w:t>
      </w:r>
    </w:p>
    <w:p w14:paraId="376D6ED5" w14:textId="77777777" w:rsidR="004E3CBD" w:rsidRDefault="00DB2FE0" w:rsidP="009E6894">
      <w:pPr>
        <w:spacing w:line="360" w:lineRule="auto"/>
        <w:jc w:val="both"/>
      </w:pPr>
      <w:r>
        <w:t xml:space="preserve">6. Buňky </w:t>
      </w:r>
      <w:proofErr w:type="spellStart"/>
      <w:r w:rsidR="00084E08" w:rsidRPr="001215BC">
        <w:t>r</w:t>
      </w:r>
      <w:r w:rsidR="00636796" w:rsidRPr="001215BC">
        <w:t>esuspend</w:t>
      </w:r>
      <w:r>
        <w:t>ovat</w:t>
      </w:r>
      <w:proofErr w:type="spellEnd"/>
      <w:r w:rsidR="00636796" w:rsidRPr="001215BC">
        <w:t xml:space="preserve"> </w:t>
      </w:r>
      <w:r w:rsidR="00F609F4">
        <w:t xml:space="preserve">asi </w:t>
      </w:r>
      <w:r w:rsidR="00636796" w:rsidRPr="001215BC">
        <w:t xml:space="preserve">v </w:t>
      </w:r>
      <w:r>
        <w:t>1-1,5</w:t>
      </w:r>
      <w:r w:rsidR="00084E08" w:rsidRPr="001215BC">
        <w:t xml:space="preserve"> </w:t>
      </w:r>
      <w:r>
        <w:t>ml PBS</w:t>
      </w:r>
      <w:r w:rsidR="00F609F4">
        <w:t xml:space="preserve"> (záleží na počtu buněk)</w:t>
      </w:r>
      <w:r>
        <w:t xml:space="preserve"> a spočítat</w:t>
      </w:r>
      <w:r w:rsidR="00636796" w:rsidRPr="001215BC">
        <w:t>.</w:t>
      </w:r>
      <w:r w:rsidR="007D2A01" w:rsidRPr="001215BC">
        <w:t xml:space="preserve"> </w:t>
      </w:r>
      <w:r w:rsidR="004E3CBD" w:rsidRPr="001215BC">
        <w:t>V roztoku se nachází kromě lymfocytů také mono</w:t>
      </w:r>
      <w:r w:rsidR="00F609F4">
        <w:t>cyty</w:t>
      </w:r>
      <w:r w:rsidR="004E3CBD" w:rsidRPr="001215BC">
        <w:t xml:space="preserve"> a gra</w:t>
      </w:r>
      <w:r w:rsidR="00F609F4">
        <w:t>nulocyty</w:t>
      </w:r>
      <w:r w:rsidR="004E3CBD" w:rsidRPr="001215BC">
        <w:t>.</w:t>
      </w:r>
    </w:p>
    <w:p w14:paraId="7C41A2B7" w14:textId="77777777" w:rsidR="00DB2FE0" w:rsidRDefault="00DB2FE0" w:rsidP="009E6894">
      <w:pPr>
        <w:spacing w:line="360" w:lineRule="auto"/>
        <w:jc w:val="both"/>
      </w:pPr>
    </w:p>
    <w:p w14:paraId="7D0C2F4D" w14:textId="77777777" w:rsidR="00DB2FE0" w:rsidRDefault="00DB2FE0" w:rsidP="009E6894">
      <w:pPr>
        <w:spacing w:line="360" w:lineRule="auto"/>
        <w:jc w:val="both"/>
      </w:pPr>
    </w:p>
    <w:p w14:paraId="577FA1AB" w14:textId="77777777" w:rsidR="00A13981" w:rsidRPr="001215BC" w:rsidRDefault="00A13981" w:rsidP="009E6894">
      <w:pPr>
        <w:spacing w:line="360" w:lineRule="auto"/>
        <w:jc w:val="both"/>
      </w:pPr>
      <w:r w:rsidRPr="001215BC">
        <w:rPr>
          <w:b/>
        </w:rPr>
        <w:t xml:space="preserve">Počítání v </w:t>
      </w:r>
      <w:proofErr w:type="spellStart"/>
      <w:r w:rsidRPr="001215BC">
        <w:rPr>
          <w:b/>
        </w:rPr>
        <w:t>Bűrkerově</w:t>
      </w:r>
      <w:proofErr w:type="spellEnd"/>
      <w:r w:rsidRPr="001215BC">
        <w:rPr>
          <w:b/>
        </w:rPr>
        <w:t xml:space="preserve"> komůrce:</w:t>
      </w:r>
      <w:r w:rsidRPr="001215BC">
        <w:t xml:space="preserve"> </w:t>
      </w:r>
    </w:p>
    <w:p w14:paraId="566A1155" w14:textId="77777777" w:rsidR="00A13981" w:rsidRPr="001215BC" w:rsidRDefault="005B44E8" w:rsidP="009E6894">
      <w:pPr>
        <w:pStyle w:val="inlinefiguretitle"/>
        <w:spacing w:before="0" w:after="0" w:line="360" w:lineRule="auto"/>
        <w:rPr>
          <w:sz w:val="24"/>
          <w:szCs w:val="24"/>
          <w:lang w:val="en-US"/>
        </w:rPr>
      </w:pPr>
      <w:r w:rsidRPr="001215BC">
        <w:rPr>
          <w:noProof/>
          <w:sz w:val="24"/>
          <w:szCs w:val="24"/>
          <w:lang w:val="en-US"/>
        </w:rPr>
        <w:lastRenderedPageBreak/>
        <w:drawing>
          <wp:inline distT="0" distB="0" distL="0" distR="0" wp14:anchorId="4B0A8D4E" wp14:editId="6EDBC9EA">
            <wp:extent cx="4137660" cy="5935980"/>
            <wp:effectExtent l="0" t="0" r="0" b="0"/>
            <wp:docPr id="2" name="obrázek 2" descr="haemocytometer2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emocytometer2c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7660" cy="5935980"/>
                    </a:xfrm>
                    <a:prstGeom prst="rect">
                      <a:avLst/>
                    </a:prstGeom>
                    <a:noFill/>
                    <a:ln>
                      <a:noFill/>
                    </a:ln>
                  </pic:spPr>
                </pic:pic>
              </a:graphicData>
            </a:graphic>
          </wp:inline>
        </w:drawing>
      </w:r>
    </w:p>
    <w:p w14:paraId="3E27DF84" w14:textId="77777777" w:rsidR="00A13981" w:rsidRPr="001215BC" w:rsidRDefault="00A13981" w:rsidP="009E6894">
      <w:pPr>
        <w:spacing w:line="360" w:lineRule="auto"/>
        <w:rPr>
          <w:b/>
        </w:rPr>
      </w:pPr>
      <w:r w:rsidRPr="001215BC">
        <w:rPr>
          <w:bCs/>
        </w:rPr>
        <w:t>upraveno podle</w:t>
      </w:r>
      <w:r w:rsidRPr="001215BC">
        <w:rPr>
          <w:b/>
        </w:rPr>
        <w:t xml:space="preserve"> </w:t>
      </w:r>
      <w:hyperlink r:id="rId6" w:history="1">
        <w:r w:rsidRPr="001215BC">
          <w:rPr>
            <w:rStyle w:val="Hypertextovodkaz"/>
            <w:b/>
          </w:rPr>
          <w:t>http://www.who.int/vaccines/en/poliolab/webhelp/Figure_4.2.htm</w:t>
        </w:r>
      </w:hyperlink>
      <w:r w:rsidRPr="001215BC">
        <w:rPr>
          <w:b/>
        </w:rPr>
        <w:t xml:space="preserve"> </w:t>
      </w:r>
    </w:p>
    <w:p w14:paraId="1AB6AB8A" w14:textId="77777777" w:rsidR="00A13981" w:rsidRPr="001215BC" w:rsidRDefault="00A13981" w:rsidP="009E6894">
      <w:pPr>
        <w:pStyle w:val="Normlnweb"/>
        <w:tabs>
          <w:tab w:val="left" w:pos="2505"/>
        </w:tabs>
        <w:spacing w:before="0" w:beforeAutospacing="0" w:after="0" w:afterAutospacing="0" w:line="360" w:lineRule="auto"/>
      </w:pPr>
    </w:p>
    <w:p w14:paraId="6CDF85C7" w14:textId="77777777" w:rsidR="00A13981" w:rsidRPr="001215BC" w:rsidRDefault="005B44E8" w:rsidP="009E6894">
      <w:pPr>
        <w:pStyle w:val="Normlnweb"/>
        <w:tabs>
          <w:tab w:val="left" w:pos="2505"/>
        </w:tabs>
        <w:spacing w:before="0" w:beforeAutospacing="0" w:after="0" w:afterAutospacing="0" w:line="360" w:lineRule="auto"/>
        <w:jc w:val="center"/>
        <w:rPr>
          <w:rFonts w:ascii="Arial" w:hAnsi="Arial" w:cs="Arial"/>
        </w:rPr>
      </w:pPr>
      <w:r w:rsidRPr="001215BC">
        <w:rPr>
          <w:rFonts w:ascii="Arial" w:hAnsi="Arial" w:cs="Arial"/>
          <w:noProof/>
        </w:rPr>
        <w:drawing>
          <wp:inline distT="0" distB="0" distL="0" distR="0" wp14:anchorId="00DE1B62" wp14:editId="63CD3E5D">
            <wp:extent cx="1432560" cy="1524000"/>
            <wp:effectExtent l="0" t="0" r="0" b="0"/>
            <wp:docPr id="3" name="obrázek 3" descr="punk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nk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524000"/>
                    </a:xfrm>
                    <a:prstGeom prst="rect">
                      <a:avLst/>
                    </a:prstGeom>
                    <a:noFill/>
                    <a:ln>
                      <a:noFill/>
                    </a:ln>
                  </pic:spPr>
                </pic:pic>
              </a:graphicData>
            </a:graphic>
          </wp:inline>
        </w:drawing>
      </w:r>
      <w:r w:rsidR="00A13981" w:rsidRPr="001215BC">
        <w:rPr>
          <w:rFonts w:ascii="Arial" w:hAnsi="Arial" w:cs="Arial"/>
        </w:rPr>
        <w:t xml:space="preserve">             </w:t>
      </w:r>
      <w:r w:rsidRPr="001215BC">
        <w:rPr>
          <w:rFonts w:ascii="Arial" w:hAnsi="Arial" w:cs="Arial"/>
          <w:noProof/>
        </w:rPr>
        <w:drawing>
          <wp:inline distT="0" distB="0" distL="0" distR="0" wp14:anchorId="53DE65BA" wp14:editId="15F1841D">
            <wp:extent cx="1577340" cy="1478280"/>
            <wp:effectExtent l="0" t="0" r="0" b="0"/>
            <wp:docPr id="4" name="obrázek 4" descr="beweg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weg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1478280"/>
                    </a:xfrm>
                    <a:prstGeom prst="rect">
                      <a:avLst/>
                    </a:prstGeom>
                    <a:noFill/>
                    <a:ln>
                      <a:noFill/>
                    </a:ln>
                  </pic:spPr>
                </pic:pic>
              </a:graphicData>
            </a:graphic>
          </wp:inline>
        </w:drawing>
      </w:r>
    </w:p>
    <w:p w14:paraId="561C096B" w14:textId="77777777" w:rsidR="00A13981" w:rsidRPr="001215BC" w:rsidRDefault="00A13981" w:rsidP="009E6894">
      <w:pPr>
        <w:pStyle w:val="Normlnweb"/>
        <w:tabs>
          <w:tab w:val="left" w:pos="2505"/>
        </w:tabs>
        <w:spacing w:before="0" w:beforeAutospacing="0" w:after="0" w:afterAutospacing="0" w:line="360" w:lineRule="auto"/>
        <w:jc w:val="center"/>
        <w:rPr>
          <w:color w:val="FF0000"/>
        </w:rPr>
      </w:pPr>
      <w:r w:rsidRPr="001215BC">
        <w:t>Převzato z</w:t>
      </w:r>
      <w:r w:rsidRPr="001215BC">
        <w:rPr>
          <w:color w:val="FF0000"/>
        </w:rPr>
        <w:t xml:space="preserve"> </w:t>
      </w:r>
      <w:hyperlink r:id="rId9" w:history="1">
        <w:r w:rsidRPr="001215BC">
          <w:rPr>
            <w:rStyle w:val="Hypertextovodkaz"/>
          </w:rPr>
          <w:t>http://www.lo-laboroptik.de/englisch/info/info.html</w:t>
        </w:r>
      </w:hyperlink>
    </w:p>
    <w:p w14:paraId="0CA23DE4" w14:textId="77777777" w:rsidR="00A13981" w:rsidRPr="001215BC" w:rsidRDefault="00A13981" w:rsidP="009E6894">
      <w:pPr>
        <w:pStyle w:val="Normlnweb"/>
        <w:tabs>
          <w:tab w:val="left" w:pos="2505"/>
        </w:tabs>
        <w:spacing w:before="0" w:beforeAutospacing="0" w:after="0" w:afterAutospacing="0" w:line="360" w:lineRule="auto"/>
        <w:jc w:val="center"/>
        <w:rPr>
          <w:color w:val="FF0000"/>
        </w:rPr>
      </w:pPr>
    </w:p>
    <w:p w14:paraId="472D1C82" w14:textId="77777777" w:rsidR="00A13981" w:rsidRPr="001215BC" w:rsidRDefault="00A13981" w:rsidP="009E6894">
      <w:pPr>
        <w:pStyle w:val="Normlnweb"/>
        <w:tabs>
          <w:tab w:val="left" w:pos="2505"/>
        </w:tabs>
        <w:spacing w:before="0" w:beforeAutospacing="0" w:after="0" w:afterAutospacing="0" w:line="360" w:lineRule="auto"/>
        <w:rPr>
          <w:color w:val="FF0000"/>
        </w:rPr>
      </w:pPr>
      <w:r w:rsidRPr="001215BC">
        <w:t xml:space="preserve">(viz též </w:t>
      </w:r>
      <w:hyperlink r:id="rId10" w:history="1">
        <w:r w:rsidRPr="001215BC">
          <w:rPr>
            <w:rStyle w:val="Hypertextovodkaz"/>
          </w:rPr>
          <w:t>http://www.superior.de/pgr06_info_e.htm</w:t>
        </w:r>
      </w:hyperlink>
      <w:r w:rsidRPr="001215BC">
        <w:t>)</w:t>
      </w:r>
    </w:p>
    <w:p w14:paraId="28AB8869" w14:textId="77777777" w:rsidR="00A13981" w:rsidRPr="00EE21D4" w:rsidRDefault="00A13981" w:rsidP="009E6894">
      <w:pPr>
        <w:spacing w:line="360" w:lineRule="auto"/>
        <w:rPr>
          <w:b/>
        </w:rPr>
      </w:pPr>
      <w:r w:rsidRPr="00EE21D4">
        <w:rPr>
          <w:b/>
        </w:rPr>
        <w:lastRenderedPageBreak/>
        <w:t xml:space="preserve">K výpočtu množství buněk v 1 ml suspenze je třeba znát tloušťku vzorku nad mřížkou. Každý z 25 čtverců obvykle měří 0,2 x 0,2 x </w:t>
      </w:r>
      <w:smartTag w:uri="urn:schemas-microsoft-com:office:smarttags" w:element="metricconverter">
        <w:smartTagPr>
          <w:attr w:name="ProductID" w:val="0,1 mm"/>
        </w:smartTagPr>
        <w:r w:rsidRPr="00EE21D4">
          <w:rPr>
            <w:b/>
          </w:rPr>
          <w:t>0,1 mm</w:t>
        </w:r>
      </w:smartTag>
      <w:r w:rsidRPr="00EE21D4">
        <w:rPr>
          <w:b/>
        </w:rPr>
        <w:t xml:space="preserve"> a má tedy objem 0,004 mm</w:t>
      </w:r>
      <w:r w:rsidRPr="00EE21D4">
        <w:rPr>
          <w:b/>
          <w:vertAlign w:val="superscript"/>
        </w:rPr>
        <w:t>3</w:t>
      </w:r>
      <w:r w:rsidRPr="00EE21D4">
        <w:rPr>
          <w:b/>
        </w:rPr>
        <w:t>. Takže 25 čtverců má objem 0,1 mm</w:t>
      </w:r>
      <w:r w:rsidRPr="00EE21D4">
        <w:rPr>
          <w:b/>
          <w:vertAlign w:val="superscript"/>
        </w:rPr>
        <w:t>3</w:t>
      </w:r>
      <w:r w:rsidRPr="00EE21D4">
        <w:rPr>
          <w:b/>
        </w:rPr>
        <w:t>. Po vynásobení zjištěného počtu buněk v 25 čtvercích hodnotou 10 000 dostaneme tedy počet buněk v 1 ml suspenze.</w:t>
      </w:r>
    </w:p>
    <w:p w14:paraId="579CEE2C" w14:textId="77777777" w:rsidR="00DB2FE0" w:rsidRDefault="00DB2FE0" w:rsidP="00540224">
      <w:pPr>
        <w:spacing w:line="360" w:lineRule="auto"/>
        <w:jc w:val="center"/>
        <w:rPr>
          <w:b/>
          <w:color w:val="000000"/>
        </w:rPr>
      </w:pPr>
    </w:p>
    <w:p w14:paraId="3A69F982" w14:textId="77777777" w:rsidR="00540224" w:rsidRDefault="00540224" w:rsidP="00DB2FE0">
      <w:pPr>
        <w:spacing w:line="360" w:lineRule="auto"/>
        <w:jc w:val="both"/>
        <w:rPr>
          <w:b/>
          <w:color w:val="000000"/>
        </w:rPr>
      </w:pPr>
      <w:r>
        <w:rPr>
          <w:b/>
          <w:color w:val="000000"/>
        </w:rPr>
        <w:t xml:space="preserve">Stanovení </w:t>
      </w:r>
      <w:r w:rsidR="00DB2FE0">
        <w:rPr>
          <w:b/>
          <w:color w:val="000000"/>
        </w:rPr>
        <w:t>relativního</w:t>
      </w:r>
      <w:r>
        <w:rPr>
          <w:b/>
          <w:color w:val="000000"/>
        </w:rPr>
        <w:t xml:space="preserve"> množství ATP</w:t>
      </w:r>
    </w:p>
    <w:p w14:paraId="0E95BCCE" w14:textId="77777777" w:rsidR="00540224" w:rsidRDefault="00540224" w:rsidP="009E6894">
      <w:pPr>
        <w:spacing w:line="360" w:lineRule="auto"/>
        <w:jc w:val="both"/>
        <w:rPr>
          <w:b/>
          <w:color w:val="000000"/>
        </w:rPr>
      </w:pPr>
    </w:p>
    <w:p w14:paraId="2178F6BE" w14:textId="77777777" w:rsidR="009E6894" w:rsidRPr="001215BC" w:rsidRDefault="00A13981" w:rsidP="009E6894">
      <w:pPr>
        <w:spacing w:line="360" w:lineRule="auto"/>
        <w:jc w:val="both"/>
        <w:rPr>
          <w:color w:val="000000"/>
        </w:rPr>
      </w:pPr>
      <w:r w:rsidRPr="001215BC">
        <w:rPr>
          <w:b/>
          <w:color w:val="000000"/>
        </w:rPr>
        <w:t xml:space="preserve">ATP </w:t>
      </w:r>
      <w:proofErr w:type="spellStart"/>
      <w:r w:rsidR="00BA672B">
        <w:rPr>
          <w:b/>
          <w:color w:val="000000"/>
        </w:rPr>
        <w:t>R</w:t>
      </w:r>
      <w:r w:rsidR="004C6500">
        <w:rPr>
          <w:b/>
          <w:color w:val="000000"/>
        </w:rPr>
        <w:t>e</w:t>
      </w:r>
      <w:r w:rsidR="00BA672B">
        <w:rPr>
          <w:b/>
          <w:color w:val="000000"/>
        </w:rPr>
        <w:t>agent</w:t>
      </w:r>
      <w:proofErr w:type="spellEnd"/>
      <w:r w:rsidR="00BA672B">
        <w:rPr>
          <w:b/>
          <w:color w:val="000000"/>
        </w:rPr>
        <w:t xml:space="preserve"> SL - </w:t>
      </w:r>
      <w:proofErr w:type="spellStart"/>
      <w:r w:rsidR="00BA672B" w:rsidRPr="00BA672B">
        <w:rPr>
          <w:color w:val="000000"/>
        </w:rPr>
        <w:t>lyofilizát</w:t>
      </w:r>
      <w:proofErr w:type="spellEnd"/>
      <w:r w:rsidR="00BA672B" w:rsidRPr="00BA672B">
        <w:rPr>
          <w:color w:val="000000"/>
        </w:rPr>
        <w:t xml:space="preserve"> </w:t>
      </w:r>
      <w:r w:rsidR="00BA672B">
        <w:rPr>
          <w:color w:val="000000"/>
        </w:rPr>
        <w:t>obsahující</w:t>
      </w:r>
      <w:r w:rsidR="00BA672B" w:rsidRPr="00BA672B">
        <w:rPr>
          <w:color w:val="000000"/>
        </w:rPr>
        <w:t xml:space="preserve"> D-luciferin, luciferázu a stabilizátory</w:t>
      </w:r>
      <w:r w:rsidR="00BA672B">
        <w:rPr>
          <w:color w:val="000000"/>
        </w:rPr>
        <w:t xml:space="preserve">, </w:t>
      </w:r>
    </w:p>
    <w:p w14:paraId="389E8A93" w14:textId="77777777" w:rsidR="00BA672B" w:rsidRPr="00BA672B" w:rsidRDefault="00BA672B" w:rsidP="009E6894">
      <w:pPr>
        <w:spacing w:line="360" w:lineRule="auto"/>
        <w:jc w:val="both"/>
        <w:rPr>
          <w:color w:val="000000"/>
        </w:rPr>
      </w:pPr>
      <w:proofErr w:type="spellStart"/>
      <w:r>
        <w:rPr>
          <w:b/>
          <w:color w:val="000000"/>
        </w:rPr>
        <w:t>Lysing</w:t>
      </w:r>
      <w:proofErr w:type="spellEnd"/>
      <w:r>
        <w:rPr>
          <w:b/>
          <w:color w:val="000000"/>
        </w:rPr>
        <w:t xml:space="preserve"> </w:t>
      </w:r>
      <w:proofErr w:type="spellStart"/>
      <w:r>
        <w:rPr>
          <w:b/>
          <w:color w:val="000000"/>
        </w:rPr>
        <w:t>Diluent</w:t>
      </w:r>
      <w:proofErr w:type="spellEnd"/>
      <w:r>
        <w:rPr>
          <w:b/>
          <w:color w:val="000000"/>
        </w:rPr>
        <w:t xml:space="preserve"> - </w:t>
      </w:r>
      <w:r w:rsidRPr="00BA672B">
        <w:rPr>
          <w:color w:val="000000"/>
        </w:rPr>
        <w:t xml:space="preserve">roztok </w:t>
      </w:r>
      <w:proofErr w:type="spellStart"/>
      <w:r w:rsidRPr="00BA672B">
        <w:rPr>
          <w:color w:val="000000"/>
        </w:rPr>
        <w:t>Tris</w:t>
      </w:r>
      <w:proofErr w:type="spellEnd"/>
      <w:r w:rsidRPr="00BA672B">
        <w:rPr>
          <w:color w:val="000000"/>
        </w:rPr>
        <w:t xml:space="preserve"> (</w:t>
      </w:r>
      <w:proofErr w:type="spellStart"/>
      <w:r w:rsidRPr="00BA672B">
        <w:rPr>
          <w:color w:val="000000"/>
        </w:rPr>
        <w:t>hydroxymethyl</w:t>
      </w:r>
      <w:proofErr w:type="spellEnd"/>
      <w:r w:rsidRPr="00BA672B">
        <w:rPr>
          <w:color w:val="000000"/>
        </w:rPr>
        <w:t xml:space="preserve">) </w:t>
      </w:r>
      <w:proofErr w:type="spellStart"/>
      <w:r w:rsidRPr="00BA672B">
        <w:rPr>
          <w:color w:val="000000"/>
        </w:rPr>
        <w:t>aminomethanu</w:t>
      </w:r>
      <w:proofErr w:type="spellEnd"/>
      <w:r w:rsidRPr="00BA672B">
        <w:rPr>
          <w:color w:val="000000"/>
        </w:rPr>
        <w:t xml:space="preserve">, EDTA, </w:t>
      </w:r>
      <w:proofErr w:type="spellStart"/>
      <w:r w:rsidRPr="00BA672B">
        <w:rPr>
          <w:color w:val="000000"/>
        </w:rPr>
        <w:t>lyzující</w:t>
      </w:r>
      <w:proofErr w:type="spellEnd"/>
      <w:r w:rsidRPr="00BA672B">
        <w:rPr>
          <w:color w:val="000000"/>
        </w:rPr>
        <w:t xml:space="preserve"> látka, inhibitor </w:t>
      </w:r>
      <w:proofErr w:type="spellStart"/>
      <w:r w:rsidRPr="00BA672B">
        <w:rPr>
          <w:color w:val="000000"/>
        </w:rPr>
        <w:t>ATPázy</w:t>
      </w:r>
      <w:proofErr w:type="spellEnd"/>
      <w:r>
        <w:rPr>
          <w:color w:val="000000"/>
        </w:rPr>
        <w:t xml:space="preserve">. Slouží k rozpuštění ATP </w:t>
      </w:r>
      <w:proofErr w:type="spellStart"/>
      <w:r>
        <w:rPr>
          <w:color w:val="000000"/>
        </w:rPr>
        <w:t>Reagent</w:t>
      </w:r>
      <w:proofErr w:type="spellEnd"/>
      <w:r>
        <w:rPr>
          <w:color w:val="000000"/>
        </w:rPr>
        <w:t xml:space="preserve"> SL</w:t>
      </w:r>
    </w:p>
    <w:p w14:paraId="3537020B" w14:textId="77777777" w:rsidR="00BA672B" w:rsidRDefault="00BA672B" w:rsidP="009E6894">
      <w:pPr>
        <w:spacing w:line="360" w:lineRule="auto"/>
        <w:jc w:val="both"/>
        <w:rPr>
          <w:b/>
          <w:color w:val="000000"/>
        </w:rPr>
      </w:pPr>
    </w:p>
    <w:p w14:paraId="1A563544" w14:textId="77777777" w:rsidR="00A13981" w:rsidRPr="00B50E59" w:rsidRDefault="00A13981" w:rsidP="009E6894">
      <w:pPr>
        <w:spacing w:line="360" w:lineRule="auto"/>
        <w:jc w:val="both"/>
        <w:rPr>
          <w:b/>
          <w:color w:val="000000"/>
        </w:rPr>
      </w:pPr>
      <w:r w:rsidRPr="001215BC">
        <w:rPr>
          <w:b/>
          <w:color w:val="000000"/>
        </w:rPr>
        <w:t>Postup</w:t>
      </w:r>
      <w:r w:rsidR="00DB2FE0">
        <w:rPr>
          <w:b/>
          <w:color w:val="000000"/>
        </w:rPr>
        <w:t xml:space="preserve"> práce</w:t>
      </w:r>
      <w:r w:rsidR="002E79EE">
        <w:rPr>
          <w:b/>
          <w:color w:val="000000"/>
        </w:rPr>
        <w:t>-</w:t>
      </w:r>
      <w:proofErr w:type="spellStart"/>
      <w:r w:rsidR="002E79EE">
        <w:rPr>
          <w:b/>
          <w:color w:val="000000"/>
        </w:rPr>
        <w:t>kit</w:t>
      </w:r>
      <w:proofErr w:type="spellEnd"/>
      <w:r w:rsidR="00DB2FE0">
        <w:rPr>
          <w:b/>
          <w:color w:val="000000"/>
        </w:rPr>
        <w:t>:</w:t>
      </w:r>
    </w:p>
    <w:p w14:paraId="7846404D" w14:textId="77777777" w:rsidR="00A13981" w:rsidRPr="00F609F4" w:rsidRDefault="002E79EE" w:rsidP="00C97BA1">
      <w:pPr>
        <w:spacing w:line="360" w:lineRule="auto"/>
        <w:jc w:val="both"/>
        <w:rPr>
          <w:color w:val="000000"/>
          <w:sz w:val="16"/>
          <w:szCs w:val="16"/>
        </w:rPr>
      </w:pPr>
      <w:r>
        <w:rPr>
          <w:color w:val="000000"/>
        </w:rPr>
        <w:t>Celý</w:t>
      </w:r>
      <w:r w:rsidR="00537CF6">
        <w:rPr>
          <w:color w:val="000000"/>
        </w:rPr>
        <w:t xml:space="preserve"> o</w:t>
      </w:r>
      <w:r w:rsidR="00BA672B">
        <w:rPr>
          <w:color w:val="000000"/>
        </w:rPr>
        <w:t xml:space="preserve">bsah lahvičky s ATP </w:t>
      </w:r>
      <w:proofErr w:type="spellStart"/>
      <w:r w:rsidR="00BA672B">
        <w:rPr>
          <w:color w:val="000000"/>
        </w:rPr>
        <w:t>Reagent</w:t>
      </w:r>
      <w:proofErr w:type="spellEnd"/>
      <w:r w:rsidR="00BA672B">
        <w:rPr>
          <w:color w:val="000000"/>
        </w:rPr>
        <w:t xml:space="preserve"> SL </w:t>
      </w:r>
      <w:r w:rsidR="00DB2FE0">
        <w:rPr>
          <w:color w:val="000000"/>
        </w:rPr>
        <w:t xml:space="preserve">rozpustit </w:t>
      </w:r>
      <w:r w:rsidR="00BA672B">
        <w:rPr>
          <w:color w:val="000000"/>
        </w:rPr>
        <w:t xml:space="preserve">přidáním veškerého objemu </w:t>
      </w:r>
      <w:r>
        <w:rPr>
          <w:color w:val="000000"/>
        </w:rPr>
        <w:t xml:space="preserve">další lahvičky </w:t>
      </w:r>
      <w:proofErr w:type="spellStart"/>
      <w:r w:rsidR="00BA672B">
        <w:rPr>
          <w:color w:val="000000"/>
        </w:rPr>
        <w:t>Lysing</w:t>
      </w:r>
      <w:proofErr w:type="spellEnd"/>
      <w:r w:rsidR="00BA672B">
        <w:rPr>
          <w:color w:val="000000"/>
        </w:rPr>
        <w:t xml:space="preserve"> </w:t>
      </w:r>
      <w:proofErr w:type="spellStart"/>
      <w:r w:rsidR="00BA672B">
        <w:rPr>
          <w:color w:val="000000"/>
        </w:rPr>
        <w:t>Diluent</w:t>
      </w:r>
      <w:proofErr w:type="spellEnd"/>
      <w:r w:rsidR="00BA672B">
        <w:rPr>
          <w:color w:val="000000"/>
        </w:rPr>
        <w:t>.</w:t>
      </w:r>
      <w:r>
        <w:rPr>
          <w:color w:val="000000"/>
        </w:rPr>
        <w:t xml:space="preserve"> </w:t>
      </w:r>
      <w:r w:rsidRPr="00F609F4">
        <w:rPr>
          <w:b/>
          <w:color w:val="000000"/>
          <w:sz w:val="16"/>
          <w:szCs w:val="16"/>
        </w:rPr>
        <w:t>Pozn.</w:t>
      </w:r>
      <w:r w:rsidR="00DB3579" w:rsidRPr="00F609F4">
        <w:rPr>
          <w:color w:val="000000"/>
          <w:sz w:val="16"/>
          <w:szCs w:val="16"/>
        </w:rPr>
        <w:t xml:space="preserve"> Výsledkem bude </w:t>
      </w:r>
      <w:r w:rsidRPr="00F609F4">
        <w:rPr>
          <w:color w:val="000000"/>
          <w:sz w:val="16"/>
          <w:szCs w:val="16"/>
        </w:rPr>
        <w:t>12ml roztoku, který je třeb</w:t>
      </w:r>
      <w:r w:rsidR="00DB3579" w:rsidRPr="00F609F4">
        <w:rPr>
          <w:color w:val="000000"/>
          <w:sz w:val="16"/>
          <w:szCs w:val="16"/>
        </w:rPr>
        <w:t>a vyčerpat nebo se pak, když zbu</w:t>
      </w:r>
      <w:r w:rsidRPr="00F609F4">
        <w:rPr>
          <w:color w:val="000000"/>
          <w:sz w:val="16"/>
          <w:szCs w:val="16"/>
        </w:rPr>
        <w:t>de, zamrazí, ale není garantovaný přesný výsledek po rozmražení.</w:t>
      </w:r>
    </w:p>
    <w:p w14:paraId="3A1DB891" w14:textId="77777777" w:rsidR="00866EDA" w:rsidRDefault="00866EDA" w:rsidP="00897500">
      <w:pPr>
        <w:spacing w:line="360" w:lineRule="auto"/>
        <w:jc w:val="both"/>
        <w:rPr>
          <w:color w:val="000000"/>
        </w:rPr>
      </w:pPr>
      <w:r>
        <w:rPr>
          <w:color w:val="000000"/>
        </w:rPr>
        <w:t>Příprava vzorků:</w:t>
      </w:r>
    </w:p>
    <w:p w14:paraId="213E706A" w14:textId="77777777" w:rsidR="00866EDA" w:rsidRDefault="00866EDA" w:rsidP="00897500">
      <w:pPr>
        <w:spacing w:line="360" w:lineRule="auto"/>
        <w:jc w:val="both"/>
        <w:rPr>
          <w:color w:val="000000"/>
        </w:rPr>
      </w:pPr>
      <w:r>
        <w:rPr>
          <w:color w:val="000000"/>
        </w:rPr>
        <w:t xml:space="preserve">Do stripů </w:t>
      </w:r>
      <w:proofErr w:type="spellStart"/>
      <w:r>
        <w:rPr>
          <w:color w:val="000000"/>
        </w:rPr>
        <w:t>napipetovat</w:t>
      </w:r>
      <w:proofErr w:type="spellEnd"/>
      <w:r>
        <w:rPr>
          <w:color w:val="000000"/>
        </w:rPr>
        <w:t xml:space="preserve"> 50</w:t>
      </w:r>
      <w:r w:rsidRPr="00866EDA">
        <w:t xml:space="preserve"> </w:t>
      </w:r>
      <w:r w:rsidRPr="00866EDA">
        <w:rPr>
          <w:color w:val="000000"/>
        </w:rPr>
        <w:t>ul</w:t>
      </w:r>
      <w:r>
        <w:rPr>
          <w:color w:val="000000"/>
        </w:rPr>
        <w:t xml:space="preserve"> </w:t>
      </w:r>
      <w:proofErr w:type="spellStart"/>
      <w:r>
        <w:rPr>
          <w:color w:val="000000"/>
        </w:rPr>
        <w:t>extraktantu</w:t>
      </w:r>
      <w:proofErr w:type="spellEnd"/>
      <w:r>
        <w:rPr>
          <w:color w:val="000000"/>
        </w:rPr>
        <w:t>, dále přidat:</w:t>
      </w:r>
    </w:p>
    <w:p w14:paraId="736B4EE6" w14:textId="77777777" w:rsidR="00897500" w:rsidRPr="00897500" w:rsidRDefault="00D536EE" w:rsidP="00897500">
      <w:pPr>
        <w:spacing w:line="360" w:lineRule="auto"/>
        <w:jc w:val="both"/>
        <w:rPr>
          <w:color w:val="000000"/>
        </w:rPr>
      </w:pPr>
      <w:r>
        <w:rPr>
          <w:color w:val="000000"/>
        </w:rPr>
        <w:t xml:space="preserve">1. </w:t>
      </w:r>
      <w:r w:rsidR="00897500" w:rsidRPr="00897500">
        <w:rPr>
          <w:color w:val="000000"/>
        </w:rPr>
        <w:t>Použít 3 různá ředění roztoku s buňkami ve dvou opakování –</w:t>
      </w:r>
      <w:r w:rsidR="00897500">
        <w:rPr>
          <w:color w:val="000000"/>
        </w:rPr>
        <w:t xml:space="preserve"> </w:t>
      </w:r>
      <w:r w:rsidR="00897500" w:rsidRPr="00897500">
        <w:rPr>
          <w:color w:val="000000"/>
        </w:rPr>
        <w:t>u každého ředění musí být kontrola</w:t>
      </w:r>
      <w:r w:rsidR="00897500">
        <w:rPr>
          <w:color w:val="000000"/>
        </w:rPr>
        <w:t xml:space="preserve"> bez stříbra</w:t>
      </w:r>
      <w:r w:rsidR="00897500" w:rsidRPr="00897500">
        <w:rPr>
          <w:color w:val="000000"/>
        </w:rPr>
        <w:t>, koncentrovaný,</w:t>
      </w:r>
      <w:r w:rsidR="00897500">
        <w:rPr>
          <w:color w:val="000000"/>
        </w:rPr>
        <w:t xml:space="preserve"> </w:t>
      </w:r>
      <w:r w:rsidR="00897500" w:rsidRPr="00897500">
        <w:rPr>
          <w:color w:val="000000"/>
        </w:rPr>
        <w:t xml:space="preserve">2x ředěný a 4x ředěný, všechny v množství 50 ul. </w:t>
      </w:r>
    </w:p>
    <w:p w14:paraId="76BEB6D3" w14:textId="77777777" w:rsidR="00897500" w:rsidRPr="00897500" w:rsidRDefault="00866EDA" w:rsidP="00897500">
      <w:pPr>
        <w:spacing w:line="360" w:lineRule="auto"/>
        <w:jc w:val="both"/>
        <w:rPr>
          <w:color w:val="000000"/>
        </w:rPr>
      </w:pPr>
      <w:proofErr w:type="spellStart"/>
      <w:r>
        <w:rPr>
          <w:color w:val="000000"/>
        </w:rPr>
        <w:t>Přpravit</w:t>
      </w:r>
      <w:proofErr w:type="spellEnd"/>
      <w:r>
        <w:rPr>
          <w:color w:val="000000"/>
        </w:rPr>
        <w:t xml:space="preserve"> </w:t>
      </w:r>
      <w:r w:rsidR="00897500" w:rsidRPr="00897500">
        <w:rPr>
          <w:color w:val="000000"/>
        </w:rPr>
        <w:t xml:space="preserve">3x </w:t>
      </w:r>
      <w:proofErr w:type="spellStart"/>
      <w:r w:rsidR="00897500" w:rsidRPr="00897500">
        <w:rPr>
          <w:color w:val="000000"/>
        </w:rPr>
        <w:t>Blank</w:t>
      </w:r>
      <w:proofErr w:type="spellEnd"/>
      <w:r w:rsidR="00897500" w:rsidRPr="00897500">
        <w:rPr>
          <w:color w:val="000000"/>
        </w:rPr>
        <w:t xml:space="preserve">: </w:t>
      </w:r>
      <w:proofErr w:type="spellStart"/>
      <w:r w:rsidR="00897500" w:rsidRPr="00897500">
        <w:rPr>
          <w:color w:val="000000"/>
        </w:rPr>
        <w:t>blank</w:t>
      </w:r>
      <w:proofErr w:type="spellEnd"/>
      <w:r w:rsidR="00897500" w:rsidRPr="00897500">
        <w:rPr>
          <w:color w:val="000000"/>
        </w:rPr>
        <w:t xml:space="preserve"> bez buněk</w:t>
      </w:r>
      <w:r>
        <w:rPr>
          <w:color w:val="000000"/>
        </w:rPr>
        <w:t xml:space="preserve"> a bez stříbra</w:t>
      </w:r>
      <w:r w:rsidR="00897500" w:rsidRPr="00897500">
        <w:rPr>
          <w:color w:val="000000"/>
        </w:rPr>
        <w:t xml:space="preserve">, bez buněk se stříbrem, s buňkami a se stříbrem. Ke každému naředěnému vzorku přidat 50 ul roztoku </w:t>
      </w:r>
      <w:proofErr w:type="spellStart"/>
      <w:r w:rsidR="00897500" w:rsidRPr="00897500">
        <w:rPr>
          <w:color w:val="000000"/>
        </w:rPr>
        <w:t>nanostříbra</w:t>
      </w:r>
      <w:proofErr w:type="spellEnd"/>
      <w:r w:rsidR="00897500" w:rsidRPr="00897500">
        <w:rPr>
          <w:color w:val="000000"/>
        </w:rPr>
        <w:t xml:space="preserve"> v koncentraci 50ppm (50mg/l), </w:t>
      </w:r>
      <w:r w:rsidR="00897500">
        <w:rPr>
          <w:color w:val="000000"/>
        </w:rPr>
        <w:t>n</w:t>
      </w:r>
      <w:r w:rsidR="00897500" w:rsidRPr="00897500">
        <w:rPr>
          <w:color w:val="000000"/>
        </w:rPr>
        <w:t>echat 15min kultivovat při 37°C</w:t>
      </w:r>
    </w:p>
    <w:p w14:paraId="0D78C4CD" w14:textId="77777777" w:rsidR="00866EDA" w:rsidRDefault="00897500" w:rsidP="00897500">
      <w:pPr>
        <w:spacing w:line="360" w:lineRule="auto"/>
        <w:jc w:val="both"/>
        <w:rPr>
          <w:color w:val="000000"/>
        </w:rPr>
      </w:pPr>
      <w:r w:rsidRPr="00897500">
        <w:rPr>
          <w:color w:val="000000"/>
        </w:rPr>
        <w:t xml:space="preserve">2. Buňky v PBS, u nichž stanovujeme množství ATP, v objemu 100ul </w:t>
      </w:r>
      <w:proofErr w:type="spellStart"/>
      <w:r w:rsidRPr="00897500">
        <w:rPr>
          <w:color w:val="000000"/>
        </w:rPr>
        <w:t>napipetovat</w:t>
      </w:r>
      <w:proofErr w:type="spellEnd"/>
      <w:r w:rsidRPr="00897500">
        <w:rPr>
          <w:color w:val="000000"/>
        </w:rPr>
        <w:t xml:space="preserve"> v triplikátech </w:t>
      </w:r>
      <w:r w:rsidR="00866EDA">
        <w:rPr>
          <w:color w:val="000000"/>
        </w:rPr>
        <w:t xml:space="preserve">(nebo duplikátech) </w:t>
      </w:r>
      <w:r w:rsidRPr="00897500">
        <w:rPr>
          <w:color w:val="000000"/>
        </w:rPr>
        <w:t xml:space="preserve">do jamek ve stripu. </w:t>
      </w:r>
    </w:p>
    <w:p w14:paraId="6D22A198" w14:textId="77777777" w:rsidR="00866EDA" w:rsidRDefault="00897500" w:rsidP="00897500">
      <w:pPr>
        <w:spacing w:line="360" w:lineRule="auto"/>
        <w:jc w:val="both"/>
        <w:rPr>
          <w:color w:val="000000"/>
        </w:rPr>
      </w:pPr>
      <w:r w:rsidRPr="00897500">
        <w:rPr>
          <w:color w:val="000000"/>
        </w:rPr>
        <w:t xml:space="preserve">3.  Do každé jamky přidat 50 ul rozpuštěného ATP </w:t>
      </w:r>
      <w:proofErr w:type="spellStart"/>
      <w:r w:rsidRPr="00897500">
        <w:rPr>
          <w:color w:val="000000"/>
        </w:rPr>
        <w:t>Reagent</w:t>
      </w:r>
      <w:proofErr w:type="spellEnd"/>
      <w:r w:rsidRPr="00897500">
        <w:rPr>
          <w:color w:val="000000"/>
        </w:rPr>
        <w:t xml:space="preserve"> SL a zamíchat. </w:t>
      </w:r>
    </w:p>
    <w:p w14:paraId="649E3C1A" w14:textId="77777777" w:rsidR="00DB2FE0" w:rsidRDefault="00897500" w:rsidP="00897500">
      <w:pPr>
        <w:spacing w:line="360" w:lineRule="auto"/>
        <w:jc w:val="both"/>
        <w:rPr>
          <w:color w:val="000000"/>
        </w:rPr>
      </w:pPr>
      <w:r w:rsidRPr="00897500">
        <w:rPr>
          <w:color w:val="000000"/>
        </w:rPr>
        <w:t>4. Změřit luminiscenci (RLU) odpovídající množství ATP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03"/>
        <w:gridCol w:w="1803"/>
        <w:gridCol w:w="1791"/>
        <w:gridCol w:w="1827"/>
      </w:tblGrid>
      <w:tr w:rsidR="00E94638" w:rsidRPr="003558B5" w14:paraId="54FC25B9" w14:textId="77777777" w:rsidTr="00AC62C2">
        <w:tc>
          <w:tcPr>
            <w:tcW w:w="1836" w:type="dxa"/>
            <w:shd w:val="clear" w:color="auto" w:fill="auto"/>
          </w:tcPr>
          <w:p w14:paraId="2574A343" w14:textId="77777777" w:rsidR="00E94638" w:rsidRPr="00AC62C2" w:rsidRDefault="00E94638" w:rsidP="003558B5">
            <w:pPr>
              <w:spacing w:line="360" w:lineRule="auto"/>
              <w:jc w:val="both"/>
              <w:rPr>
                <w:b/>
                <w:bCs/>
                <w:color w:val="000000"/>
              </w:rPr>
            </w:pPr>
            <w:r w:rsidRPr="00AC62C2">
              <w:rPr>
                <w:b/>
                <w:bCs/>
                <w:color w:val="000000"/>
              </w:rPr>
              <w:t xml:space="preserve">Roztok s buňkami </w:t>
            </w:r>
            <w:proofErr w:type="gramStart"/>
            <w:r w:rsidRPr="00AC62C2">
              <w:rPr>
                <w:b/>
                <w:bCs/>
                <w:color w:val="000000"/>
              </w:rPr>
              <w:t>v  ul</w:t>
            </w:r>
            <w:proofErr w:type="gramEnd"/>
          </w:p>
        </w:tc>
        <w:tc>
          <w:tcPr>
            <w:tcW w:w="1803" w:type="dxa"/>
            <w:shd w:val="clear" w:color="auto" w:fill="auto"/>
          </w:tcPr>
          <w:p w14:paraId="06A817D0" w14:textId="2571F897" w:rsidR="00E94638" w:rsidRPr="00AC62C2" w:rsidRDefault="00E94638" w:rsidP="003558B5">
            <w:pPr>
              <w:spacing w:line="360" w:lineRule="auto"/>
              <w:jc w:val="both"/>
              <w:rPr>
                <w:b/>
                <w:bCs/>
                <w:color w:val="000000"/>
              </w:rPr>
            </w:pPr>
            <w:r w:rsidRPr="00AC62C2">
              <w:rPr>
                <w:b/>
                <w:bCs/>
                <w:color w:val="000000"/>
              </w:rPr>
              <w:t>Roztok s</w:t>
            </w:r>
            <w:r w:rsidR="00AC62C2" w:rsidRPr="00AC62C2">
              <w:rPr>
                <w:b/>
                <w:bCs/>
                <w:color w:val="000000"/>
              </w:rPr>
              <w:t> </w:t>
            </w:r>
            <w:proofErr w:type="spellStart"/>
            <w:r w:rsidRPr="00AC62C2">
              <w:rPr>
                <w:b/>
                <w:bCs/>
                <w:color w:val="000000"/>
              </w:rPr>
              <w:t>Ag</w:t>
            </w:r>
            <w:proofErr w:type="spellEnd"/>
            <w:r w:rsidR="00AC62C2" w:rsidRPr="00AC62C2">
              <w:rPr>
                <w:b/>
                <w:bCs/>
                <w:color w:val="000000"/>
              </w:rPr>
              <w:t>+</w:t>
            </w:r>
          </w:p>
        </w:tc>
        <w:tc>
          <w:tcPr>
            <w:tcW w:w="1803" w:type="dxa"/>
            <w:shd w:val="clear" w:color="auto" w:fill="auto"/>
          </w:tcPr>
          <w:p w14:paraId="79A62B33" w14:textId="77777777" w:rsidR="00E94638" w:rsidRPr="00AC62C2" w:rsidRDefault="00E94638" w:rsidP="003558B5">
            <w:pPr>
              <w:spacing w:line="360" w:lineRule="auto"/>
              <w:jc w:val="both"/>
              <w:rPr>
                <w:b/>
                <w:bCs/>
                <w:color w:val="000000"/>
              </w:rPr>
            </w:pPr>
            <w:proofErr w:type="spellStart"/>
            <w:r w:rsidRPr="00AC62C2">
              <w:rPr>
                <w:b/>
                <w:bCs/>
                <w:color w:val="000000"/>
              </w:rPr>
              <w:t>reagent</w:t>
            </w:r>
            <w:proofErr w:type="spellEnd"/>
          </w:p>
        </w:tc>
        <w:tc>
          <w:tcPr>
            <w:tcW w:w="1791" w:type="dxa"/>
            <w:shd w:val="clear" w:color="auto" w:fill="auto"/>
          </w:tcPr>
          <w:p w14:paraId="76D43CE8" w14:textId="77777777" w:rsidR="00E94638" w:rsidRPr="00AC62C2" w:rsidRDefault="00E94638" w:rsidP="003558B5">
            <w:pPr>
              <w:spacing w:line="360" w:lineRule="auto"/>
              <w:jc w:val="both"/>
              <w:rPr>
                <w:b/>
                <w:bCs/>
                <w:color w:val="000000"/>
              </w:rPr>
            </w:pPr>
            <w:r w:rsidRPr="00AC62C2">
              <w:rPr>
                <w:b/>
                <w:bCs/>
                <w:color w:val="000000"/>
              </w:rPr>
              <w:t>PBS</w:t>
            </w:r>
          </w:p>
        </w:tc>
        <w:tc>
          <w:tcPr>
            <w:tcW w:w="1827" w:type="dxa"/>
            <w:shd w:val="clear" w:color="auto" w:fill="auto"/>
          </w:tcPr>
          <w:p w14:paraId="47319A60" w14:textId="77777777" w:rsidR="00E94638" w:rsidRPr="00AC62C2" w:rsidRDefault="00E94638" w:rsidP="003558B5">
            <w:pPr>
              <w:spacing w:line="360" w:lineRule="auto"/>
              <w:jc w:val="both"/>
              <w:rPr>
                <w:b/>
                <w:bCs/>
                <w:color w:val="000000"/>
              </w:rPr>
            </w:pPr>
            <w:r w:rsidRPr="00AC62C2">
              <w:rPr>
                <w:b/>
                <w:bCs/>
                <w:color w:val="000000"/>
              </w:rPr>
              <w:t>Hodnota luminiscence</w:t>
            </w:r>
          </w:p>
        </w:tc>
      </w:tr>
      <w:tr w:rsidR="00E94638" w:rsidRPr="003558B5" w14:paraId="45C13595" w14:textId="77777777" w:rsidTr="00AC62C2">
        <w:tc>
          <w:tcPr>
            <w:tcW w:w="1836" w:type="dxa"/>
            <w:shd w:val="clear" w:color="auto" w:fill="auto"/>
          </w:tcPr>
          <w:p w14:paraId="684003AB" w14:textId="591F5373" w:rsidR="00E94638" w:rsidRPr="003558B5" w:rsidRDefault="00E94638" w:rsidP="003558B5">
            <w:pPr>
              <w:spacing w:line="360" w:lineRule="auto"/>
              <w:jc w:val="both"/>
              <w:rPr>
                <w:color w:val="000000"/>
              </w:rPr>
            </w:pPr>
            <w:r w:rsidRPr="003558B5">
              <w:rPr>
                <w:color w:val="000000"/>
              </w:rPr>
              <w:t xml:space="preserve">Koncentrovaný </w:t>
            </w:r>
            <w:r w:rsidR="00AC62C2">
              <w:rPr>
                <w:color w:val="000000"/>
              </w:rPr>
              <w:t>50µl</w:t>
            </w:r>
          </w:p>
        </w:tc>
        <w:tc>
          <w:tcPr>
            <w:tcW w:w="1803" w:type="dxa"/>
            <w:shd w:val="clear" w:color="auto" w:fill="auto"/>
          </w:tcPr>
          <w:p w14:paraId="7AD9B2AD" w14:textId="77777777" w:rsidR="00E94638" w:rsidRPr="003558B5" w:rsidRDefault="00E94638" w:rsidP="003558B5">
            <w:pPr>
              <w:spacing w:line="360" w:lineRule="auto"/>
              <w:jc w:val="both"/>
              <w:rPr>
                <w:color w:val="000000"/>
              </w:rPr>
            </w:pPr>
            <w:r w:rsidRPr="003558B5">
              <w:rPr>
                <w:color w:val="000000"/>
              </w:rPr>
              <w:t>50</w:t>
            </w:r>
          </w:p>
        </w:tc>
        <w:tc>
          <w:tcPr>
            <w:tcW w:w="1803" w:type="dxa"/>
            <w:shd w:val="clear" w:color="auto" w:fill="auto"/>
          </w:tcPr>
          <w:p w14:paraId="0CA884D9" w14:textId="77777777" w:rsidR="00E94638" w:rsidRPr="003558B5" w:rsidRDefault="00E94638" w:rsidP="003558B5">
            <w:pPr>
              <w:spacing w:line="360" w:lineRule="auto"/>
              <w:jc w:val="both"/>
              <w:rPr>
                <w:color w:val="000000"/>
              </w:rPr>
            </w:pPr>
            <w:r w:rsidRPr="003558B5">
              <w:rPr>
                <w:color w:val="000000"/>
              </w:rPr>
              <w:t>50</w:t>
            </w:r>
          </w:p>
        </w:tc>
        <w:tc>
          <w:tcPr>
            <w:tcW w:w="1791" w:type="dxa"/>
            <w:shd w:val="clear" w:color="auto" w:fill="auto"/>
          </w:tcPr>
          <w:p w14:paraId="37FD1ED2" w14:textId="77777777" w:rsidR="00E94638" w:rsidRPr="003558B5" w:rsidRDefault="00E94638" w:rsidP="003558B5">
            <w:pPr>
              <w:spacing w:line="360" w:lineRule="auto"/>
              <w:jc w:val="both"/>
              <w:rPr>
                <w:color w:val="000000"/>
              </w:rPr>
            </w:pPr>
          </w:p>
        </w:tc>
        <w:tc>
          <w:tcPr>
            <w:tcW w:w="1827" w:type="dxa"/>
            <w:shd w:val="clear" w:color="auto" w:fill="auto"/>
          </w:tcPr>
          <w:p w14:paraId="04943BA7" w14:textId="77777777" w:rsidR="00E94638" w:rsidRPr="003558B5" w:rsidRDefault="00E94638" w:rsidP="003558B5">
            <w:pPr>
              <w:spacing w:line="360" w:lineRule="auto"/>
              <w:jc w:val="both"/>
              <w:rPr>
                <w:color w:val="000000"/>
              </w:rPr>
            </w:pPr>
          </w:p>
        </w:tc>
      </w:tr>
      <w:tr w:rsidR="00E94638" w:rsidRPr="003558B5" w14:paraId="18CBB680" w14:textId="77777777" w:rsidTr="00AC62C2">
        <w:tc>
          <w:tcPr>
            <w:tcW w:w="1836" w:type="dxa"/>
            <w:shd w:val="clear" w:color="auto" w:fill="auto"/>
          </w:tcPr>
          <w:p w14:paraId="20316CA6" w14:textId="08A755FD" w:rsidR="00E94638" w:rsidRPr="003558B5" w:rsidRDefault="00E94638" w:rsidP="003558B5">
            <w:pPr>
              <w:spacing w:line="360" w:lineRule="auto"/>
              <w:jc w:val="both"/>
              <w:rPr>
                <w:color w:val="000000"/>
              </w:rPr>
            </w:pPr>
            <w:r w:rsidRPr="003558B5">
              <w:rPr>
                <w:color w:val="000000"/>
              </w:rPr>
              <w:t xml:space="preserve">2x ředěný </w:t>
            </w:r>
            <w:r w:rsidR="00AC62C2" w:rsidRPr="00AC62C2">
              <w:rPr>
                <w:color w:val="000000"/>
              </w:rPr>
              <w:t>50µl</w:t>
            </w:r>
          </w:p>
        </w:tc>
        <w:tc>
          <w:tcPr>
            <w:tcW w:w="1803" w:type="dxa"/>
            <w:shd w:val="clear" w:color="auto" w:fill="auto"/>
          </w:tcPr>
          <w:p w14:paraId="2321D5C7" w14:textId="77777777" w:rsidR="00E94638" w:rsidRPr="003558B5" w:rsidRDefault="00E94638" w:rsidP="003558B5">
            <w:pPr>
              <w:spacing w:line="360" w:lineRule="auto"/>
              <w:jc w:val="both"/>
              <w:rPr>
                <w:color w:val="000000"/>
              </w:rPr>
            </w:pPr>
            <w:r w:rsidRPr="003558B5">
              <w:rPr>
                <w:color w:val="000000"/>
              </w:rPr>
              <w:t>50</w:t>
            </w:r>
          </w:p>
        </w:tc>
        <w:tc>
          <w:tcPr>
            <w:tcW w:w="1803" w:type="dxa"/>
            <w:shd w:val="clear" w:color="auto" w:fill="auto"/>
          </w:tcPr>
          <w:p w14:paraId="6412F2FB" w14:textId="77777777" w:rsidR="00E94638" w:rsidRPr="003558B5" w:rsidRDefault="00E94638" w:rsidP="003558B5">
            <w:pPr>
              <w:spacing w:line="360" w:lineRule="auto"/>
              <w:jc w:val="both"/>
              <w:rPr>
                <w:color w:val="000000"/>
              </w:rPr>
            </w:pPr>
            <w:r w:rsidRPr="003558B5">
              <w:rPr>
                <w:color w:val="000000"/>
              </w:rPr>
              <w:t>50</w:t>
            </w:r>
          </w:p>
        </w:tc>
        <w:tc>
          <w:tcPr>
            <w:tcW w:w="1791" w:type="dxa"/>
            <w:shd w:val="clear" w:color="auto" w:fill="auto"/>
          </w:tcPr>
          <w:p w14:paraId="46007028" w14:textId="77777777" w:rsidR="00E94638" w:rsidRPr="003558B5" w:rsidRDefault="00E94638" w:rsidP="003558B5">
            <w:pPr>
              <w:spacing w:line="360" w:lineRule="auto"/>
              <w:jc w:val="both"/>
              <w:rPr>
                <w:color w:val="000000"/>
              </w:rPr>
            </w:pPr>
          </w:p>
        </w:tc>
        <w:tc>
          <w:tcPr>
            <w:tcW w:w="1827" w:type="dxa"/>
            <w:shd w:val="clear" w:color="auto" w:fill="auto"/>
          </w:tcPr>
          <w:p w14:paraId="19DB9ABB" w14:textId="77777777" w:rsidR="00E94638" w:rsidRPr="003558B5" w:rsidRDefault="00E94638" w:rsidP="003558B5">
            <w:pPr>
              <w:spacing w:line="360" w:lineRule="auto"/>
              <w:jc w:val="both"/>
              <w:rPr>
                <w:color w:val="000000"/>
              </w:rPr>
            </w:pPr>
          </w:p>
        </w:tc>
      </w:tr>
      <w:tr w:rsidR="00E94638" w:rsidRPr="003558B5" w14:paraId="74882C5B" w14:textId="77777777" w:rsidTr="00AC62C2">
        <w:tc>
          <w:tcPr>
            <w:tcW w:w="1836" w:type="dxa"/>
            <w:shd w:val="clear" w:color="auto" w:fill="auto"/>
          </w:tcPr>
          <w:p w14:paraId="5A2519AD" w14:textId="386D6BAA" w:rsidR="00E94638" w:rsidRPr="003558B5" w:rsidRDefault="00E94638" w:rsidP="003558B5">
            <w:pPr>
              <w:spacing w:line="360" w:lineRule="auto"/>
              <w:jc w:val="both"/>
              <w:rPr>
                <w:color w:val="000000"/>
              </w:rPr>
            </w:pPr>
            <w:r w:rsidRPr="003558B5">
              <w:rPr>
                <w:color w:val="000000"/>
              </w:rPr>
              <w:t xml:space="preserve">4x ředěný </w:t>
            </w:r>
            <w:r w:rsidR="00AC62C2" w:rsidRPr="00AC62C2">
              <w:rPr>
                <w:color w:val="000000"/>
              </w:rPr>
              <w:t>50µl</w:t>
            </w:r>
          </w:p>
        </w:tc>
        <w:tc>
          <w:tcPr>
            <w:tcW w:w="1803" w:type="dxa"/>
            <w:shd w:val="clear" w:color="auto" w:fill="auto"/>
          </w:tcPr>
          <w:p w14:paraId="5C56DF22" w14:textId="77777777" w:rsidR="00E94638" w:rsidRPr="003558B5" w:rsidRDefault="00E94638" w:rsidP="003558B5">
            <w:pPr>
              <w:spacing w:line="360" w:lineRule="auto"/>
              <w:jc w:val="both"/>
              <w:rPr>
                <w:color w:val="000000"/>
              </w:rPr>
            </w:pPr>
            <w:r w:rsidRPr="003558B5">
              <w:rPr>
                <w:color w:val="000000"/>
              </w:rPr>
              <w:t>50</w:t>
            </w:r>
          </w:p>
        </w:tc>
        <w:tc>
          <w:tcPr>
            <w:tcW w:w="1803" w:type="dxa"/>
            <w:shd w:val="clear" w:color="auto" w:fill="auto"/>
          </w:tcPr>
          <w:p w14:paraId="0BBAFAAA" w14:textId="77777777" w:rsidR="00E94638" w:rsidRPr="003558B5" w:rsidRDefault="00E94638" w:rsidP="003558B5">
            <w:pPr>
              <w:spacing w:line="360" w:lineRule="auto"/>
              <w:jc w:val="both"/>
              <w:rPr>
                <w:color w:val="000000"/>
              </w:rPr>
            </w:pPr>
            <w:r w:rsidRPr="003558B5">
              <w:rPr>
                <w:color w:val="000000"/>
              </w:rPr>
              <w:t>50</w:t>
            </w:r>
          </w:p>
        </w:tc>
        <w:tc>
          <w:tcPr>
            <w:tcW w:w="1791" w:type="dxa"/>
            <w:shd w:val="clear" w:color="auto" w:fill="auto"/>
          </w:tcPr>
          <w:p w14:paraId="1F2F0109" w14:textId="77777777" w:rsidR="00E94638" w:rsidRPr="003558B5" w:rsidRDefault="00E94638" w:rsidP="003558B5">
            <w:pPr>
              <w:spacing w:line="360" w:lineRule="auto"/>
              <w:jc w:val="both"/>
              <w:rPr>
                <w:color w:val="000000"/>
              </w:rPr>
            </w:pPr>
          </w:p>
        </w:tc>
        <w:tc>
          <w:tcPr>
            <w:tcW w:w="1827" w:type="dxa"/>
            <w:shd w:val="clear" w:color="auto" w:fill="auto"/>
          </w:tcPr>
          <w:p w14:paraId="69476F5D" w14:textId="77777777" w:rsidR="00E94638" w:rsidRPr="003558B5" w:rsidRDefault="00E94638" w:rsidP="003558B5">
            <w:pPr>
              <w:spacing w:line="360" w:lineRule="auto"/>
              <w:jc w:val="both"/>
              <w:rPr>
                <w:color w:val="000000"/>
              </w:rPr>
            </w:pPr>
          </w:p>
        </w:tc>
      </w:tr>
      <w:tr w:rsidR="00E94638" w:rsidRPr="003558B5" w14:paraId="7A85744E" w14:textId="77777777" w:rsidTr="00AC62C2">
        <w:tc>
          <w:tcPr>
            <w:tcW w:w="1836" w:type="dxa"/>
            <w:shd w:val="clear" w:color="auto" w:fill="auto"/>
          </w:tcPr>
          <w:p w14:paraId="271A9CA4" w14:textId="1C5EEA38" w:rsidR="00E94638" w:rsidRPr="003558B5" w:rsidRDefault="00E94638" w:rsidP="003558B5">
            <w:pPr>
              <w:spacing w:line="360" w:lineRule="auto"/>
              <w:jc w:val="both"/>
              <w:rPr>
                <w:color w:val="000000"/>
              </w:rPr>
            </w:pPr>
            <w:proofErr w:type="spellStart"/>
            <w:r w:rsidRPr="003558B5">
              <w:rPr>
                <w:color w:val="000000"/>
              </w:rPr>
              <w:t>Blank</w:t>
            </w:r>
            <w:proofErr w:type="spellEnd"/>
            <w:r w:rsidRPr="003558B5">
              <w:rPr>
                <w:color w:val="000000"/>
              </w:rPr>
              <w:t xml:space="preserve"> </w:t>
            </w:r>
            <w:r w:rsidR="00AC62C2" w:rsidRPr="00AC62C2">
              <w:rPr>
                <w:color w:val="000000"/>
              </w:rPr>
              <w:t>50µl</w:t>
            </w:r>
          </w:p>
        </w:tc>
        <w:tc>
          <w:tcPr>
            <w:tcW w:w="1803" w:type="dxa"/>
            <w:shd w:val="clear" w:color="auto" w:fill="auto"/>
          </w:tcPr>
          <w:p w14:paraId="42F8038A" w14:textId="77777777" w:rsidR="00E94638" w:rsidRPr="003558B5" w:rsidRDefault="00E94638" w:rsidP="003558B5">
            <w:pPr>
              <w:spacing w:line="360" w:lineRule="auto"/>
              <w:jc w:val="both"/>
              <w:rPr>
                <w:color w:val="000000"/>
              </w:rPr>
            </w:pPr>
          </w:p>
        </w:tc>
        <w:tc>
          <w:tcPr>
            <w:tcW w:w="1803" w:type="dxa"/>
            <w:shd w:val="clear" w:color="auto" w:fill="auto"/>
          </w:tcPr>
          <w:p w14:paraId="3FAC954E" w14:textId="77777777" w:rsidR="00E94638" w:rsidRPr="003558B5" w:rsidRDefault="00E94638" w:rsidP="003558B5">
            <w:pPr>
              <w:spacing w:line="360" w:lineRule="auto"/>
              <w:jc w:val="both"/>
              <w:rPr>
                <w:color w:val="000000"/>
              </w:rPr>
            </w:pPr>
            <w:r w:rsidRPr="003558B5">
              <w:rPr>
                <w:color w:val="000000"/>
              </w:rPr>
              <w:t>50</w:t>
            </w:r>
          </w:p>
        </w:tc>
        <w:tc>
          <w:tcPr>
            <w:tcW w:w="1791" w:type="dxa"/>
            <w:shd w:val="clear" w:color="auto" w:fill="auto"/>
          </w:tcPr>
          <w:p w14:paraId="5AE8B8D0" w14:textId="77777777" w:rsidR="00E94638" w:rsidRPr="003558B5" w:rsidRDefault="00E94638" w:rsidP="003558B5">
            <w:pPr>
              <w:spacing w:line="360" w:lineRule="auto"/>
              <w:jc w:val="both"/>
              <w:rPr>
                <w:color w:val="000000"/>
              </w:rPr>
            </w:pPr>
            <w:r w:rsidRPr="003558B5">
              <w:rPr>
                <w:color w:val="000000"/>
              </w:rPr>
              <w:t>50</w:t>
            </w:r>
          </w:p>
        </w:tc>
        <w:tc>
          <w:tcPr>
            <w:tcW w:w="1827" w:type="dxa"/>
            <w:shd w:val="clear" w:color="auto" w:fill="auto"/>
          </w:tcPr>
          <w:p w14:paraId="2D06D77C" w14:textId="77777777" w:rsidR="00E94638" w:rsidRPr="003558B5" w:rsidRDefault="00E94638" w:rsidP="003558B5">
            <w:pPr>
              <w:spacing w:line="360" w:lineRule="auto"/>
              <w:jc w:val="both"/>
              <w:rPr>
                <w:color w:val="000000"/>
              </w:rPr>
            </w:pPr>
          </w:p>
        </w:tc>
      </w:tr>
      <w:tr w:rsidR="00E94638" w:rsidRPr="003558B5" w14:paraId="430AC1DF" w14:textId="77777777" w:rsidTr="00AC62C2">
        <w:tc>
          <w:tcPr>
            <w:tcW w:w="1836" w:type="dxa"/>
            <w:shd w:val="clear" w:color="auto" w:fill="auto"/>
          </w:tcPr>
          <w:p w14:paraId="6CCBC061" w14:textId="77777777" w:rsidR="00E94638" w:rsidRPr="003558B5" w:rsidRDefault="00E94638" w:rsidP="003558B5">
            <w:pPr>
              <w:spacing w:line="360" w:lineRule="auto"/>
              <w:jc w:val="both"/>
              <w:rPr>
                <w:color w:val="000000"/>
              </w:rPr>
            </w:pPr>
            <w:proofErr w:type="spellStart"/>
            <w:r w:rsidRPr="003558B5">
              <w:rPr>
                <w:color w:val="000000"/>
              </w:rPr>
              <w:lastRenderedPageBreak/>
              <w:t>Blank</w:t>
            </w:r>
            <w:proofErr w:type="spellEnd"/>
            <w:r w:rsidRPr="003558B5">
              <w:rPr>
                <w:color w:val="000000"/>
              </w:rPr>
              <w:t xml:space="preserve"> 50</w:t>
            </w:r>
          </w:p>
        </w:tc>
        <w:tc>
          <w:tcPr>
            <w:tcW w:w="1803" w:type="dxa"/>
            <w:shd w:val="clear" w:color="auto" w:fill="auto"/>
          </w:tcPr>
          <w:p w14:paraId="5FA046BE" w14:textId="77777777" w:rsidR="00E94638" w:rsidRPr="003558B5" w:rsidRDefault="00E94638" w:rsidP="003558B5">
            <w:pPr>
              <w:spacing w:line="360" w:lineRule="auto"/>
              <w:jc w:val="both"/>
              <w:rPr>
                <w:color w:val="000000"/>
              </w:rPr>
            </w:pPr>
            <w:r w:rsidRPr="003558B5">
              <w:rPr>
                <w:color w:val="000000"/>
              </w:rPr>
              <w:t>50</w:t>
            </w:r>
          </w:p>
        </w:tc>
        <w:tc>
          <w:tcPr>
            <w:tcW w:w="1803" w:type="dxa"/>
            <w:shd w:val="clear" w:color="auto" w:fill="auto"/>
          </w:tcPr>
          <w:p w14:paraId="22C6CA75" w14:textId="77777777" w:rsidR="00E94638" w:rsidRPr="003558B5" w:rsidRDefault="00E94638" w:rsidP="003558B5">
            <w:pPr>
              <w:spacing w:line="360" w:lineRule="auto"/>
              <w:jc w:val="both"/>
              <w:rPr>
                <w:color w:val="000000"/>
              </w:rPr>
            </w:pPr>
            <w:r w:rsidRPr="003558B5">
              <w:rPr>
                <w:color w:val="000000"/>
              </w:rPr>
              <w:t>50</w:t>
            </w:r>
          </w:p>
        </w:tc>
        <w:tc>
          <w:tcPr>
            <w:tcW w:w="1791" w:type="dxa"/>
            <w:shd w:val="clear" w:color="auto" w:fill="auto"/>
          </w:tcPr>
          <w:p w14:paraId="3F519F67" w14:textId="77777777" w:rsidR="00E94638" w:rsidRPr="003558B5" w:rsidRDefault="00E94638" w:rsidP="003558B5">
            <w:pPr>
              <w:spacing w:line="360" w:lineRule="auto"/>
              <w:jc w:val="both"/>
              <w:rPr>
                <w:color w:val="000000"/>
              </w:rPr>
            </w:pPr>
          </w:p>
        </w:tc>
        <w:tc>
          <w:tcPr>
            <w:tcW w:w="1827" w:type="dxa"/>
            <w:shd w:val="clear" w:color="auto" w:fill="auto"/>
          </w:tcPr>
          <w:p w14:paraId="395D1566" w14:textId="77777777" w:rsidR="00E94638" w:rsidRPr="003558B5" w:rsidRDefault="00E94638" w:rsidP="003558B5">
            <w:pPr>
              <w:spacing w:line="360" w:lineRule="auto"/>
              <w:jc w:val="both"/>
              <w:rPr>
                <w:color w:val="000000"/>
              </w:rPr>
            </w:pPr>
          </w:p>
        </w:tc>
      </w:tr>
    </w:tbl>
    <w:p w14:paraId="646AFD8B" w14:textId="77777777" w:rsidR="00E94638" w:rsidRDefault="00E94638" w:rsidP="00897500">
      <w:pPr>
        <w:spacing w:line="360" w:lineRule="auto"/>
        <w:jc w:val="both"/>
        <w:rPr>
          <w:color w:val="000000"/>
        </w:rPr>
      </w:pPr>
    </w:p>
    <w:p w14:paraId="778DAA24" w14:textId="77777777" w:rsidR="00DB2FE0" w:rsidRPr="00DB2FE0" w:rsidRDefault="00DB2FE0" w:rsidP="00C97BA1">
      <w:pPr>
        <w:spacing w:line="360" w:lineRule="auto"/>
        <w:jc w:val="both"/>
        <w:rPr>
          <w:b/>
          <w:color w:val="000000"/>
        </w:rPr>
      </w:pPr>
      <w:r w:rsidRPr="00DB2FE0">
        <w:rPr>
          <w:b/>
          <w:color w:val="000000"/>
        </w:rPr>
        <w:t>Vyhodnocení:</w:t>
      </w:r>
    </w:p>
    <w:p w14:paraId="10C50F75" w14:textId="7727B585" w:rsidR="002E79EE" w:rsidRDefault="00EF5844" w:rsidP="00C97BA1">
      <w:pPr>
        <w:spacing w:line="360" w:lineRule="auto"/>
        <w:jc w:val="both"/>
        <w:rPr>
          <w:color w:val="000000"/>
        </w:rPr>
      </w:pPr>
      <w:r>
        <w:rPr>
          <w:color w:val="000000"/>
        </w:rPr>
        <w:t xml:space="preserve">Po odečtení </w:t>
      </w:r>
      <w:r w:rsidR="00540224">
        <w:rPr>
          <w:color w:val="000000"/>
        </w:rPr>
        <w:t xml:space="preserve">průměrné hodnoty luminiscence </w:t>
      </w:r>
      <w:r>
        <w:rPr>
          <w:color w:val="000000"/>
        </w:rPr>
        <w:t>blanku do grafu vyn</w:t>
      </w:r>
      <w:r w:rsidR="00DB2FE0">
        <w:rPr>
          <w:color w:val="000000"/>
        </w:rPr>
        <w:t>ést</w:t>
      </w:r>
      <w:r>
        <w:rPr>
          <w:color w:val="000000"/>
        </w:rPr>
        <w:t xml:space="preserve"> </w:t>
      </w:r>
      <w:r w:rsidR="00540224">
        <w:rPr>
          <w:color w:val="000000"/>
        </w:rPr>
        <w:t>průměr</w:t>
      </w:r>
      <w:r>
        <w:rPr>
          <w:color w:val="000000"/>
        </w:rPr>
        <w:t xml:space="preserve">né hodnoty luminiscence </w:t>
      </w:r>
      <w:r w:rsidR="00A60E2D">
        <w:rPr>
          <w:color w:val="000000"/>
        </w:rPr>
        <w:t>proti</w:t>
      </w:r>
      <w:r>
        <w:rPr>
          <w:color w:val="000000"/>
        </w:rPr>
        <w:t xml:space="preserve"> příslušné koncentraci</w:t>
      </w:r>
      <w:r w:rsidR="00DB2FE0">
        <w:rPr>
          <w:color w:val="000000"/>
        </w:rPr>
        <w:t>/množství</w:t>
      </w:r>
      <w:r>
        <w:rPr>
          <w:color w:val="000000"/>
        </w:rPr>
        <w:t xml:space="preserve"> buněk </w:t>
      </w:r>
      <w:r w:rsidR="004642B0">
        <w:rPr>
          <w:color w:val="000000"/>
        </w:rPr>
        <w:t>v 5</w:t>
      </w:r>
      <w:r w:rsidR="00DB2FE0">
        <w:rPr>
          <w:color w:val="000000"/>
        </w:rPr>
        <w:t xml:space="preserve">0 </w:t>
      </w:r>
      <w:r w:rsidR="00DB2FE0" w:rsidRPr="00DB2FE0">
        <w:rPr>
          <w:rFonts w:ascii="Symbol" w:hAnsi="Symbol"/>
          <w:color w:val="000000"/>
        </w:rPr>
        <w:t></w:t>
      </w:r>
      <w:r w:rsidR="00DB2FE0">
        <w:rPr>
          <w:color w:val="000000"/>
        </w:rPr>
        <w:t xml:space="preserve">l pipetovaných do jamky ve stripu </w:t>
      </w:r>
      <w:r w:rsidR="00540224">
        <w:rPr>
          <w:color w:val="000000"/>
        </w:rPr>
        <w:t>a zhodnot</w:t>
      </w:r>
      <w:r w:rsidR="00DB2FE0">
        <w:rPr>
          <w:color w:val="000000"/>
        </w:rPr>
        <w:t>it</w:t>
      </w:r>
      <w:r w:rsidR="00540224">
        <w:rPr>
          <w:color w:val="000000"/>
        </w:rPr>
        <w:t xml:space="preserve">, </w:t>
      </w:r>
      <w:r w:rsidR="00AC62C2">
        <w:rPr>
          <w:color w:val="000000"/>
        </w:rPr>
        <w:t>změnu</w:t>
      </w:r>
      <w:r w:rsidR="00540224">
        <w:rPr>
          <w:color w:val="000000"/>
        </w:rPr>
        <w:t xml:space="preserve"> hodnot</w:t>
      </w:r>
      <w:r w:rsidR="00AC62C2">
        <w:rPr>
          <w:color w:val="000000"/>
        </w:rPr>
        <w:t>y</w:t>
      </w:r>
      <w:r w:rsidR="00540224">
        <w:rPr>
          <w:color w:val="000000"/>
        </w:rPr>
        <w:t xml:space="preserve"> luminiscence.</w:t>
      </w:r>
    </w:p>
    <w:p w14:paraId="72EEB007" w14:textId="77777777" w:rsidR="00CD5740" w:rsidRPr="00CD5740" w:rsidRDefault="00CD5740" w:rsidP="00CD5740">
      <w:pPr>
        <w:spacing w:line="360" w:lineRule="auto"/>
        <w:jc w:val="both"/>
        <w:rPr>
          <w:b/>
          <w:color w:val="000000"/>
        </w:rPr>
      </w:pPr>
      <w:r>
        <w:rPr>
          <w:b/>
          <w:color w:val="000000"/>
        </w:rPr>
        <w:t>Příklad v</w:t>
      </w:r>
      <w:r w:rsidRPr="00CD5740">
        <w:rPr>
          <w:b/>
          <w:color w:val="000000"/>
        </w:rPr>
        <w:t>yhodnocení:</w:t>
      </w:r>
    </w:p>
    <w:p w14:paraId="49E3E30B" w14:textId="77777777" w:rsidR="00CD5740" w:rsidRPr="00CD5740" w:rsidRDefault="00CD5740" w:rsidP="00CD5740">
      <w:pPr>
        <w:spacing w:line="360" w:lineRule="auto"/>
        <w:jc w:val="both"/>
        <w:rPr>
          <w:color w:val="000000"/>
        </w:rPr>
      </w:pPr>
      <w:r w:rsidRPr="00CD5740">
        <w:rPr>
          <w:color w:val="000000"/>
        </w:rPr>
        <w:t xml:space="preserve">Počet buněk před přidáním stříbra = </w:t>
      </w:r>
      <w:proofErr w:type="spellStart"/>
      <w:r>
        <w:rPr>
          <w:color w:val="000000"/>
        </w:rPr>
        <w:t>Xlymfocytů</w:t>
      </w:r>
      <w:proofErr w:type="spellEnd"/>
      <w:r>
        <w:rPr>
          <w:color w:val="000000"/>
        </w:rPr>
        <w:t xml:space="preserve"> </w:t>
      </w:r>
      <w:r w:rsidRPr="00CD5740">
        <w:rPr>
          <w:color w:val="000000"/>
        </w:rPr>
        <w:t>/ml</w:t>
      </w:r>
    </w:p>
    <w:p w14:paraId="468A096B" w14:textId="77777777" w:rsidR="00CD5740" w:rsidRPr="00CD5740" w:rsidRDefault="00CD5740" w:rsidP="00CD5740">
      <w:pPr>
        <w:spacing w:line="360" w:lineRule="auto"/>
        <w:jc w:val="both"/>
        <w:rPr>
          <w:color w:val="000000"/>
        </w:rPr>
      </w:pPr>
      <w:r w:rsidRPr="00CD5740">
        <w:rPr>
          <w:color w:val="000000"/>
        </w:rPr>
        <w:t xml:space="preserve">Počet buněk po přidání stříbra = </w:t>
      </w:r>
      <w:r>
        <w:rPr>
          <w:color w:val="000000"/>
        </w:rPr>
        <w:t>X lymfocytů</w:t>
      </w:r>
      <w:r w:rsidRPr="00CD5740">
        <w:rPr>
          <w:color w:val="000000"/>
        </w:rPr>
        <w:t>/ml</w:t>
      </w:r>
    </w:p>
    <w:p w14:paraId="38982158" w14:textId="496BB164" w:rsidR="00CD5740" w:rsidRPr="00CD5740" w:rsidRDefault="00CD5740" w:rsidP="00CD5740">
      <w:pPr>
        <w:spacing w:line="360" w:lineRule="auto"/>
        <w:jc w:val="both"/>
        <w:rPr>
          <w:color w:val="000000"/>
        </w:rPr>
      </w:pPr>
      <w:r w:rsidRPr="00CD5740">
        <w:rPr>
          <w:color w:val="000000"/>
        </w:rPr>
        <w:t xml:space="preserve">→ úbytek o cca </w:t>
      </w:r>
      <w:r>
        <w:rPr>
          <w:color w:val="000000"/>
        </w:rPr>
        <w:t>X</w:t>
      </w:r>
      <w:r w:rsidR="00AC62C2">
        <w:rPr>
          <w:color w:val="000000"/>
        </w:rPr>
        <w:t>%</w:t>
      </w:r>
      <w:r w:rsidRPr="00CD5740">
        <w:rPr>
          <w:color w:val="000000"/>
        </w:rPr>
        <w:t xml:space="preserve"> lymfocytů</w:t>
      </w:r>
    </w:p>
    <w:p w14:paraId="3F43EDC8" w14:textId="77777777" w:rsidR="00CD5740" w:rsidRPr="00CD5740" w:rsidRDefault="00CD5740" w:rsidP="00CD5740">
      <w:pPr>
        <w:spacing w:line="360" w:lineRule="auto"/>
        <w:jc w:val="both"/>
        <w:rPr>
          <w:color w:val="000000"/>
        </w:rPr>
      </w:pPr>
    </w:p>
    <w:p w14:paraId="2C05F011" w14:textId="2022ECC4" w:rsidR="00CD5740" w:rsidRDefault="00CD5740" w:rsidP="00CD5740">
      <w:pPr>
        <w:spacing w:line="360" w:lineRule="auto"/>
        <w:jc w:val="both"/>
        <w:rPr>
          <w:color w:val="000000"/>
        </w:rPr>
      </w:pPr>
      <w:r w:rsidRPr="00CD5740">
        <w:rPr>
          <w:color w:val="000000"/>
        </w:rPr>
        <w:t>Původní koncentrace stříbra: 50 mg/</w:t>
      </w:r>
      <w:r w:rsidR="00AC62C2">
        <w:rPr>
          <w:color w:val="000000"/>
        </w:rPr>
        <w:t>m</w:t>
      </w:r>
      <w:r w:rsidRPr="00CD5740">
        <w:rPr>
          <w:color w:val="000000"/>
        </w:rPr>
        <w:t>l</w:t>
      </w:r>
    </w:p>
    <w:p w14:paraId="7AD790EB" w14:textId="77777777" w:rsidR="00CD5740" w:rsidRDefault="00CD5740" w:rsidP="00CD5740">
      <w:pPr>
        <w:spacing w:line="360" w:lineRule="auto"/>
        <w:jc w:val="both"/>
        <w:rPr>
          <w:color w:val="000000"/>
        </w:rPr>
      </w:pPr>
    </w:p>
    <w:p w14:paraId="3ADF71EB" w14:textId="77777777" w:rsidR="00897500" w:rsidRDefault="00897500" w:rsidP="00C97BA1">
      <w:pPr>
        <w:spacing w:line="360" w:lineRule="auto"/>
        <w:jc w:val="both"/>
        <w:rPr>
          <w:color w:val="000000"/>
        </w:rPr>
      </w:pPr>
      <w:r>
        <w:rPr>
          <w:color w:val="000000"/>
        </w:rPr>
        <w:t>Př. Vyhodnocení:</w:t>
      </w:r>
    </w:p>
    <w:p w14:paraId="2922299A" w14:textId="77777777" w:rsidR="00897500" w:rsidRDefault="005B44E8" w:rsidP="00C97BA1">
      <w:pPr>
        <w:spacing w:line="360" w:lineRule="auto"/>
        <w:jc w:val="both"/>
        <w:rPr>
          <w:color w:val="000000"/>
        </w:rPr>
      </w:pPr>
      <w:r>
        <w:rPr>
          <w:noProof/>
          <w:color w:val="000000"/>
        </w:rPr>
        <w:drawing>
          <wp:inline distT="0" distB="0" distL="0" distR="0" wp14:anchorId="6D660375" wp14:editId="7D9F7ECF">
            <wp:extent cx="4895215" cy="60960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215" cy="609600"/>
                    </a:xfrm>
                    <a:prstGeom prst="rect">
                      <a:avLst/>
                    </a:prstGeom>
                    <a:noFill/>
                  </pic:spPr>
                </pic:pic>
              </a:graphicData>
            </a:graphic>
          </wp:inline>
        </w:drawing>
      </w:r>
    </w:p>
    <w:p w14:paraId="1EA2BBA2" w14:textId="77777777" w:rsidR="00E975F1" w:rsidRPr="00E975F1" w:rsidRDefault="00E975F1" w:rsidP="00E975F1">
      <w:pPr>
        <w:rPr>
          <w:color w:val="000000"/>
        </w:rPr>
      </w:pPr>
      <w:r w:rsidRPr="00E975F1">
        <w:rPr>
          <w:color w:val="000000"/>
        </w:rPr>
        <w:t>Graf závislosti luminiscence na koncentraci lymfocytů v jednotlivých variantách a ředěních:</w:t>
      </w:r>
    </w:p>
    <w:p w14:paraId="640502A7" w14:textId="77777777" w:rsidR="002E79EE" w:rsidRDefault="005B44E8" w:rsidP="00C97BA1">
      <w:pPr>
        <w:spacing w:line="360" w:lineRule="auto"/>
        <w:jc w:val="both"/>
        <w:rPr>
          <w:color w:val="000000"/>
        </w:rPr>
      </w:pPr>
      <w:r>
        <w:rPr>
          <w:noProof/>
          <w:color w:val="000000"/>
        </w:rPr>
        <w:drawing>
          <wp:inline distT="0" distB="0" distL="0" distR="0" wp14:anchorId="6AD0CD33" wp14:editId="675CFD0F">
            <wp:extent cx="5108575" cy="284099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8575" cy="2840990"/>
                    </a:xfrm>
                    <a:prstGeom prst="rect">
                      <a:avLst/>
                    </a:prstGeom>
                    <a:noFill/>
                  </pic:spPr>
                </pic:pic>
              </a:graphicData>
            </a:graphic>
          </wp:inline>
        </w:drawing>
      </w:r>
    </w:p>
    <w:p w14:paraId="2F43A17A" w14:textId="77777777" w:rsidR="002E79EE" w:rsidRDefault="002E79EE" w:rsidP="00C97BA1">
      <w:pPr>
        <w:spacing w:line="360" w:lineRule="auto"/>
        <w:jc w:val="both"/>
        <w:rPr>
          <w:color w:val="000000"/>
        </w:rPr>
      </w:pPr>
    </w:p>
    <w:p w14:paraId="509692DF" w14:textId="77777777" w:rsidR="00897500" w:rsidRDefault="00E975F1" w:rsidP="00537CF6">
      <w:pPr>
        <w:spacing w:line="360" w:lineRule="auto"/>
        <w:jc w:val="both"/>
        <w:rPr>
          <w:b/>
          <w:color w:val="000000"/>
        </w:rPr>
      </w:pPr>
      <w:r w:rsidRPr="00E975F1">
        <w:rPr>
          <w:b/>
          <w:color w:val="000000"/>
        </w:rPr>
        <w:t>Závěr:</w:t>
      </w:r>
    </w:p>
    <w:p w14:paraId="3B8D4EC7" w14:textId="77777777" w:rsidR="00897500" w:rsidRDefault="00897500" w:rsidP="00537CF6">
      <w:pPr>
        <w:spacing w:line="360" w:lineRule="auto"/>
        <w:jc w:val="both"/>
        <w:rPr>
          <w:b/>
          <w:color w:val="000000"/>
        </w:rPr>
      </w:pPr>
    </w:p>
    <w:p w14:paraId="3713F2FF" w14:textId="77777777" w:rsidR="00897500" w:rsidRDefault="00897500" w:rsidP="00537CF6">
      <w:pPr>
        <w:spacing w:line="360" w:lineRule="auto"/>
        <w:jc w:val="both"/>
        <w:rPr>
          <w:b/>
          <w:color w:val="000000"/>
        </w:rPr>
      </w:pPr>
    </w:p>
    <w:sectPr w:rsidR="00897500" w:rsidSect="001215B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3469"/>
    <w:multiLevelType w:val="hybridMultilevel"/>
    <w:tmpl w:val="FAC286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CC0BFD"/>
    <w:multiLevelType w:val="hybridMultilevel"/>
    <w:tmpl w:val="BC0A857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30B257B4"/>
    <w:multiLevelType w:val="hybridMultilevel"/>
    <w:tmpl w:val="3FC4A3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21D3E7E"/>
    <w:multiLevelType w:val="multilevel"/>
    <w:tmpl w:val="BC0A85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14C5012"/>
    <w:multiLevelType w:val="hybridMultilevel"/>
    <w:tmpl w:val="7F7AEA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48"/>
    <w:rsid w:val="00026A43"/>
    <w:rsid w:val="00055B96"/>
    <w:rsid w:val="00075ED7"/>
    <w:rsid w:val="00084E08"/>
    <w:rsid w:val="000A3190"/>
    <w:rsid w:val="000C7B34"/>
    <w:rsid w:val="000D51F5"/>
    <w:rsid w:val="000E4AAB"/>
    <w:rsid w:val="00106407"/>
    <w:rsid w:val="001215BC"/>
    <w:rsid w:val="001402EB"/>
    <w:rsid w:val="00161204"/>
    <w:rsid w:val="00164D3D"/>
    <w:rsid w:val="00183BCC"/>
    <w:rsid w:val="001D345B"/>
    <w:rsid w:val="002238E3"/>
    <w:rsid w:val="00231CC2"/>
    <w:rsid w:val="00267885"/>
    <w:rsid w:val="002B2F25"/>
    <w:rsid w:val="002E79EE"/>
    <w:rsid w:val="003558B5"/>
    <w:rsid w:val="003C3791"/>
    <w:rsid w:val="003D0AAA"/>
    <w:rsid w:val="003E0462"/>
    <w:rsid w:val="0042199B"/>
    <w:rsid w:val="004311CF"/>
    <w:rsid w:val="00460D0A"/>
    <w:rsid w:val="004642B0"/>
    <w:rsid w:val="004A1375"/>
    <w:rsid w:val="004C6500"/>
    <w:rsid w:val="004E3CBD"/>
    <w:rsid w:val="004F6F57"/>
    <w:rsid w:val="00537CF6"/>
    <w:rsid w:val="00540224"/>
    <w:rsid w:val="005440B6"/>
    <w:rsid w:val="00546E20"/>
    <w:rsid w:val="005866CD"/>
    <w:rsid w:val="00594540"/>
    <w:rsid w:val="005B30E7"/>
    <w:rsid w:val="005B44E8"/>
    <w:rsid w:val="00636796"/>
    <w:rsid w:val="006B0063"/>
    <w:rsid w:val="00786DD1"/>
    <w:rsid w:val="007A1ECC"/>
    <w:rsid w:val="007D2A01"/>
    <w:rsid w:val="007F461D"/>
    <w:rsid w:val="00866EDA"/>
    <w:rsid w:val="00897500"/>
    <w:rsid w:val="008B5D08"/>
    <w:rsid w:val="008D5948"/>
    <w:rsid w:val="008F1184"/>
    <w:rsid w:val="0097393F"/>
    <w:rsid w:val="009E6894"/>
    <w:rsid w:val="00A13981"/>
    <w:rsid w:val="00A60E2D"/>
    <w:rsid w:val="00AC62C2"/>
    <w:rsid w:val="00AD7314"/>
    <w:rsid w:val="00B50E59"/>
    <w:rsid w:val="00BA672B"/>
    <w:rsid w:val="00C13F54"/>
    <w:rsid w:val="00C97BA1"/>
    <w:rsid w:val="00CA09DC"/>
    <w:rsid w:val="00CC304F"/>
    <w:rsid w:val="00CD10C9"/>
    <w:rsid w:val="00CD202D"/>
    <w:rsid w:val="00CD5740"/>
    <w:rsid w:val="00CE1905"/>
    <w:rsid w:val="00CF7D74"/>
    <w:rsid w:val="00D536EE"/>
    <w:rsid w:val="00D65FC2"/>
    <w:rsid w:val="00DB2FE0"/>
    <w:rsid w:val="00DB3579"/>
    <w:rsid w:val="00DB7600"/>
    <w:rsid w:val="00DE0BA0"/>
    <w:rsid w:val="00DE70E3"/>
    <w:rsid w:val="00E36AD9"/>
    <w:rsid w:val="00E42BCF"/>
    <w:rsid w:val="00E573DD"/>
    <w:rsid w:val="00E94638"/>
    <w:rsid w:val="00E975F1"/>
    <w:rsid w:val="00EA00CC"/>
    <w:rsid w:val="00ED246C"/>
    <w:rsid w:val="00EE21D4"/>
    <w:rsid w:val="00EF5844"/>
    <w:rsid w:val="00F07004"/>
    <w:rsid w:val="00F16C99"/>
    <w:rsid w:val="00F609F4"/>
    <w:rsid w:val="00F93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27F7B3D"/>
  <w15:chartTrackingRefBased/>
  <w15:docId w15:val="{572F3B24-AA97-4144-B122-7CEABE75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qFormat/>
    <w:pPr>
      <w:keepNext/>
      <w:outlineLvl w:val="1"/>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rPr>
      <w:rFonts w:ascii="Arial Unicode MS" w:eastAsia="Arial Unicode MS" w:hAnsi="Arial Unicode MS" w:cs="Arial Unicode MS"/>
    </w:rPr>
  </w:style>
  <w:style w:type="character" w:styleId="Hypertextovodkaz">
    <w:name w:val="Hyperlink"/>
    <w:rPr>
      <w:color w:val="0000FF"/>
      <w:u w:val="single"/>
    </w:rPr>
  </w:style>
  <w:style w:type="paragraph" w:customStyle="1" w:styleId="inlinefiguretitle">
    <w:name w:val="inlinefiguretitle"/>
    <w:basedOn w:val="Normln"/>
    <w:pPr>
      <w:autoSpaceDE w:val="0"/>
      <w:autoSpaceDN w:val="0"/>
      <w:spacing w:before="120" w:after="120"/>
      <w:jc w:val="center"/>
    </w:pPr>
    <w:rPr>
      <w:rFonts w:ascii="Arial" w:eastAsia="Arial Unicode MS" w:hAnsi="Arial" w:cs="Arial"/>
      <w:b/>
      <w:bCs/>
      <w:sz w:val="20"/>
      <w:szCs w:val="20"/>
    </w:rPr>
  </w:style>
  <w:style w:type="character" w:styleId="Sledovanodkaz">
    <w:name w:val="FollowedHyperlink"/>
    <w:rsid w:val="00540224"/>
    <w:rPr>
      <w:color w:val="800080"/>
      <w:u w:val="single"/>
    </w:rPr>
  </w:style>
  <w:style w:type="table" w:styleId="Mkatabulky">
    <w:name w:val="Table Grid"/>
    <w:basedOn w:val="Normlntabulka"/>
    <w:rsid w:val="00E94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vaccines/en/poliolab/webhelp/Figure_4.2.htm"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www.superior.de/pgr06_info_e.htm" TargetMode="External"/><Relationship Id="rId4" Type="http://schemas.openxmlformats.org/officeDocument/2006/relationships/webSettings" Target="webSettings.xml"/><Relationship Id="rId9" Type="http://schemas.openxmlformats.org/officeDocument/2006/relationships/hyperlink" Target="http://www.lo-laboroptik.de/englisch/info/info.html"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854</Words>
  <Characters>5399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Cellular ATP Kit HTS</vt:lpstr>
    </vt:vector>
  </TitlesOfParts>
  <Company/>
  <LinksUpToDate>false</LinksUpToDate>
  <CharactersWithSpaces>6241</CharactersWithSpaces>
  <SharedDoc>false</SharedDoc>
  <HLinks>
    <vt:vector size="18" baseType="variant">
      <vt:variant>
        <vt:i4>4194324</vt:i4>
      </vt:variant>
      <vt:variant>
        <vt:i4>15</vt:i4>
      </vt:variant>
      <vt:variant>
        <vt:i4>0</vt:i4>
      </vt:variant>
      <vt:variant>
        <vt:i4>5</vt:i4>
      </vt:variant>
      <vt:variant>
        <vt:lpwstr>http://www.superior.de/pgr06_info_e.htm</vt:lpwstr>
      </vt:variant>
      <vt:variant>
        <vt:lpwstr/>
      </vt:variant>
      <vt:variant>
        <vt:i4>6422626</vt:i4>
      </vt:variant>
      <vt:variant>
        <vt:i4>12</vt:i4>
      </vt:variant>
      <vt:variant>
        <vt:i4>0</vt:i4>
      </vt:variant>
      <vt:variant>
        <vt:i4>5</vt:i4>
      </vt:variant>
      <vt:variant>
        <vt:lpwstr>http://www.lo-laboroptik.de/englisch/info/info.html</vt:lpwstr>
      </vt:variant>
      <vt:variant>
        <vt:lpwstr/>
      </vt:variant>
      <vt:variant>
        <vt:i4>8323154</vt:i4>
      </vt:variant>
      <vt:variant>
        <vt:i4>3</vt:i4>
      </vt:variant>
      <vt:variant>
        <vt:i4>0</vt:i4>
      </vt:variant>
      <vt:variant>
        <vt:i4>5</vt:i4>
      </vt:variant>
      <vt:variant>
        <vt:lpwstr>http://www.who.int/vaccines/en/poliolab/webhelp/Figure_4.2.htm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Cellular ATP Kit HTS</dc:title>
  <dc:subject/>
  <dc:creator>Alena</dc:creator>
  <cp:keywords/>
  <cp:lastModifiedBy>Alena Žákovská</cp:lastModifiedBy>
  <cp:revision>3</cp:revision>
  <cp:lastPrinted>2012-11-01T08:34:00Z</cp:lastPrinted>
  <dcterms:created xsi:type="dcterms:W3CDTF">2021-05-09T19:40:00Z</dcterms:created>
  <dcterms:modified xsi:type="dcterms:W3CDTF">2023-01-06T18:59:00Z</dcterms:modified>
</cp:coreProperties>
</file>