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09A5C" w14:textId="7F96EC4F" w:rsidR="003117DE" w:rsidRDefault="003F7903" w:rsidP="003117DE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3117DE">
        <w:rPr>
          <w:rFonts w:ascii="Times New Roman" w:hAnsi="Times New Roman"/>
          <w:b/>
          <w:bCs/>
          <w:sz w:val="32"/>
          <w:szCs w:val="32"/>
        </w:rPr>
        <w:t>Spectroscopical measurements of</w:t>
      </w:r>
      <w:r w:rsidR="000902C7" w:rsidRPr="003117D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B2A50" w:rsidRPr="003117DE">
        <w:rPr>
          <w:rFonts w:ascii="Times New Roman" w:hAnsi="Times New Roman"/>
          <w:b/>
          <w:bCs/>
          <w:sz w:val="32"/>
          <w:szCs w:val="32"/>
        </w:rPr>
        <w:t>freezing</w:t>
      </w:r>
      <w:r w:rsidR="005B2A50">
        <w:rPr>
          <w:rFonts w:ascii="Times New Roman" w:hAnsi="Times New Roman"/>
          <w:b/>
          <w:bCs/>
          <w:sz w:val="32"/>
          <w:szCs w:val="32"/>
        </w:rPr>
        <w:t>-</w:t>
      </w:r>
      <w:r w:rsidR="000902C7" w:rsidRPr="003117DE">
        <w:rPr>
          <w:rFonts w:ascii="Times New Roman" w:hAnsi="Times New Roman"/>
          <w:b/>
          <w:bCs/>
          <w:sz w:val="32"/>
          <w:szCs w:val="32"/>
        </w:rPr>
        <w:t xml:space="preserve">induced acidity jump of </w:t>
      </w:r>
      <w:r w:rsidR="001E407E" w:rsidRPr="003117DE">
        <w:rPr>
          <w:rFonts w:ascii="Times New Roman" w:hAnsi="Times New Roman"/>
          <w:b/>
          <w:bCs/>
          <w:sz w:val="32"/>
          <w:szCs w:val="32"/>
        </w:rPr>
        <w:t xml:space="preserve">pharmaceutical reliable </w:t>
      </w:r>
      <w:r w:rsidR="004F6E95" w:rsidRPr="003117DE">
        <w:rPr>
          <w:rFonts w:ascii="Times New Roman" w:hAnsi="Times New Roman"/>
          <w:b/>
          <w:bCs/>
          <w:sz w:val="32"/>
          <w:szCs w:val="32"/>
        </w:rPr>
        <w:t>buffers</w:t>
      </w:r>
    </w:p>
    <w:p w14:paraId="6BB19DC4" w14:textId="193D4F24" w:rsidR="008C5797" w:rsidRPr="008C5797" w:rsidRDefault="008C5797" w:rsidP="008C5797">
      <w:pPr>
        <w:suppressAutoHyphens w:val="0"/>
        <w:autoSpaceDN/>
        <w:spacing w:line="36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DB992A0">
        <w:rPr>
          <w:rFonts w:ascii="Times New Roman" w:eastAsiaTheme="minorEastAsia" w:hAnsi="Times New Roman"/>
          <w:sz w:val="24"/>
          <w:szCs w:val="24"/>
        </w:rPr>
        <w:t>Susrisweta Behera</w:t>
      </w:r>
      <w:r w:rsidRPr="0DB992A0">
        <w:rPr>
          <w:rFonts w:ascii="Times New Roman" w:eastAsiaTheme="minorEastAsia" w:hAnsi="Times New Roman"/>
          <w:sz w:val="24"/>
          <w:szCs w:val="24"/>
          <w:vertAlign w:val="superscript"/>
        </w:rPr>
        <w:t>1</w:t>
      </w:r>
      <w:r w:rsidRPr="0DB992A0">
        <w:rPr>
          <w:rFonts w:ascii="Times New Roman" w:eastAsiaTheme="minorEastAsia" w:hAnsi="Times New Roman"/>
          <w:sz w:val="24"/>
          <w:szCs w:val="24"/>
        </w:rPr>
        <w:t xml:space="preserve">, Lukáš Veselý </w:t>
      </w:r>
      <w:r w:rsidRPr="0DB992A0">
        <w:rPr>
          <w:rFonts w:ascii="Times New Roman" w:eastAsiaTheme="minorEastAsia" w:hAnsi="Times New Roman"/>
          <w:sz w:val="24"/>
          <w:szCs w:val="24"/>
          <w:vertAlign w:val="superscript"/>
        </w:rPr>
        <w:t>1</w:t>
      </w:r>
      <w:r w:rsidRPr="0DB992A0">
        <w:rPr>
          <w:rFonts w:ascii="Times New Roman" w:eastAsiaTheme="minorEastAsia" w:hAnsi="Times New Roman"/>
          <w:sz w:val="24"/>
          <w:szCs w:val="24"/>
        </w:rPr>
        <w:t xml:space="preserve">, Radim Štůsek </w:t>
      </w:r>
      <w:r w:rsidRPr="0DB992A0">
        <w:rPr>
          <w:rFonts w:ascii="Times New Roman" w:eastAsiaTheme="minorEastAsia" w:hAnsi="Times New Roman"/>
          <w:sz w:val="24"/>
          <w:szCs w:val="24"/>
          <w:vertAlign w:val="superscript"/>
        </w:rPr>
        <w:t>1</w:t>
      </w:r>
      <w:r w:rsidRPr="0DB992A0">
        <w:rPr>
          <w:rFonts w:ascii="Times New Roman" w:eastAsiaTheme="minorEastAsia" w:hAnsi="Times New Roman"/>
          <w:sz w:val="24"/>
          <w:szCs w:val="24"/>
        </w:rPr>
        <w:t xml:space="preserve">, Thomas Loerting </w:t>
      </w:r>
      <w:r w:rsidRPr="0DB992A0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DB992A0">
        <w:rPr>
          <w:rFonts w:ascii="Times New Roman" w:eastAsiaTheme="minorEastAsia" w:hAnsi="Times New Roman"/>
          <w:sz w:val="24"/>
          <w:szCs w:val="24"/>
        </w:rPr>
        <w:t>, Dominik Heger</w:t>
      </w:r>
    </w:p>
    <w:p w14:paraId="17FE5A3F" w14:textId="77777777" w:rsidR="008C5797" w:rsidRPr="008C5797" w:rsidRDefault="008C5797" w:rsidP="008C5797">
      <w:pPr>
        <w:suppressAutoHyphens w:val="0"/>
        <w:autoSpaceDN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C5797">
        <w:rPr>
          <w:rFonts w:ascii="Times New Roman" w:eastAsiaTheme="minorHAnsi" w:hAnsi="Times New Roman"/>
          <w:sz w:val="24"/>
          <w:szCs w:val="24"/>
          <w:vertAlign w:val="superscript"/>
        </w:rPr>
        <w:t>1</w:t>
      </w:r>
      <w:r w:rsidRPr="008C5797">
        <w:rPr>
          <w:rFonts w:ascii="Times New Roman" w:eastAsiaTheme="minorHAnsi" w:hAnsi="Times New Roman"/>
          <w:sz w:val="24"/>
          <w:szCs w:val="24"/>
        </w:rPr>
        <w:t xml:space="preserve"> Masaryk University, Kamenice 5, 62500 Brno, Czech Republic</w:t>
      </w:r>
    </w:p>
    <w:p w14:paraId="13D8E80C" w14:textId="77777777" w:rsidR="008C5797" w:rsidRPr="008C5797" w:rsidRDefault="008C5797" w:rsidP="008C5797">
      <w:pPr>
        <w:suppressAutoHyphens w:val="0"/>
        <w:autoSpaceDN/>
        <w:spacing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C5797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8C5797">
        <w:rPr>
          <w:rFonts w:ascii="Times New Roman" w:eastAsiaTheme="minorHAnsi" w:hAnsi="Times New Roman"/>
          <w:sz w:val="24"/>
          <w:szCs w:val="24"/>
        </w:rPr>
        <w:t xml:space="preserve"> Department: Institute of Physical Chemistry, University of Innsbruck, Tyrol, Austria</w:t>
      </w:r>
    </w:p>
    <w:p w14:paraId="1E58D13F" w14:textId="09F53466" w:rsidR="00E00615" w:rsidRDefault="000C502B" w:rsidP="000166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502B">
        <w:rPr>
          <w:rFonts w:ascii="Times New Roman" w:hAnsi="Times New Roman"/>
          <w:sz w:val="24"/>
          <w:szCs w:val="24"/>
        </w:rPr>
        <w:t xml:space="preserve"> </w:t>
      </w:r>
      <w:r w:rsidR="0024765F">
        <w:rPr>
          <w:rFonts w:ascii="Times New Roman" w:hAnsi="Times New Roman"/>
          <w:sz w:val="24"/>
          <w:szCs w:val="24"/>
        </w:rPr>
        <w:t>F</w:t>
      </w:r>
      <w:r w:rsidRPr="000C502B">
        <w:rPr>
          <w:rFonts w:ascii="Times New Roman" w:hAnsi="Times New Roman"/>
          <w:sz w:val="24"/>
          <w:szCs w:val="24"/>
        </w:rPr>
        <w:t>reezing</w:t>
      </w:r>
      <w:r w:rsidR="0004733F">
        <w:rPr>
          <w:rFonts w:ascii="Times New Roman" w:hAnsi="Times New Roman"/>
          <w:sz w:val="24"/>
          <w:szCs w:val="24"/>
        </w:rPr>
        <w:t xml:space="preserve"> </w:t>
      </w:r>
      <w:r w:rsidR="0090016A">
        <w:rPr>
          <w:rFonts w:ascii="Times New Roman" w:hAnsi="Times New Roman"/>
          <w:sz w:val="24"/>
          <w:szCs w:val="24"/>
        </w:rPr>
        <w:t xml:space="preserve">biological substances </w:t>
      </w:r>
      <w:r w:rsidR="006A492E">
        <w:rPr>
          <w:rFonts w:ascii="Times New Roman" w:hAnsi="Times New Roman"/>
          <w:sz w:val="24"/>
          <w:szCs w:val="24"/>
        </w:rPr>
        <w:t xml:space="preserve">is a crucial </w:t>
      </w:r>
      <w:r w:rsidR="7B52B1BF" w:rsidRPr="02EE544C">
        <w:rPr>
          <w:rFonts w:ascii="Times New Roman" w:hAnsi="Times New Roman"/>
          <w:sz w:val="24"/>
          <w:szCs w:val="24"/>
        </w:rPr>
        <w:t xml:space="preserve">stabilization step </w:t>
      </w:r>
      <w:r w:rsidRPr="000C502B">
        <w:rPr>
          <w:rFonts w:ascii="Times New Roman" w:hAnsi="Times New Roman"/>
          <w:sz w:val="24"/>
          <w:szCs w:val="24"/>
        </w:rPr>
        <w:t>that extend</w:t>
      </w:r>
      <w:r w:rsidR="0094703A">
        <w:rPr>
          <w:rFonts w:ascii="Times New Roman" w:hAnsi="Times New Roman"/>
          <w:sz w:val="24"/>
          <w:szCs w:val="24"/>
        </w:rPr>
        <w:t xml:space="preserve">s </w:t>
      </w:r>
      <w:r w:rsidR="43D7A51E" w:rsidRPr="02EE544C">
        <w:rPr>
          <w:rFonts w:ascii="Times New Roman" w:hAnsi="Times New Roman"/>
          <w:sz w:val="24"/>
          <w:szCs w:val="24"/>
        </w:rPr>
        <w:t>the</w:t>
      </w:r>
      <w:r w:rsidR="00081E64">
        <w:rPr>
          <w:rFonts w:ascii="Times New Roman" w:hAnsi="Times New Roman"/>
          <w:sz w:val="24"/>
          <w:szCs w:val="24"/>
        </w:rPr>
        <w:t xml:space="preserve"> </w:t>
      </w:r>
      <w:r w:rsidR="001B0F85">
        <w:rPr>
          <w:rFonts w:ascii="Times New Roman" w:hAnsi="Times New Roman"/>
          <w:sz w:val="24"/>
          <w:szCs w:val="24"/>
        </w:rPr>
        <w:t>viability</w:t>
      </w:r>
      <w:r w:rsidRPr="02EE544C">
        <w:rPr>
          <w:rFonts w:ascii="Times New Roman" w:hAnsi="Times New Roman"/>
          <w:sz w:val="24"/>
          <w:szCs w:val="24"/>
        </w:rPr>
        <w:t xml:space="preserve"> </w:t>
      </w:r>
      <w:r w:rsidR="5E6F45C4" w:rsidRPr="02EE544C">
        <w:rPr>
          <w:rFonts w:ascii="Times New Roman" w:hAnsi="Times New Roman"/>
          <w:sz w:val="24"/>
          <w:szCs w:val="24"/>
        </w:rPr>
        <w:t xml:space="preserve">and </w:t>
      </w:r>
      <w:r w:rsidRPr="02EE544C">
        <w:rPr>
          <w:rFonts w:ascii="Times New Roman" w:hAnsi="Times New Roman"/>
          <w:sz w:val="24"/>
          <w:szCs w:val="24"/>
        </w:rPr>
        <w:t>promotes manufacturing flexibility</w:t>
      </w:r>
      <w:r w:rsidR="001B0F85" w:rsidRPr="02EE544C">
        <w:rPr>
          <w:rFonts w:ascii="Times New Roman" w:hAnsi="Times New Roman"/>
          <w:sz w:val="24"/>
          <w:szCs w:val="24"/>
        </w:rPr>
        <w:t>.</w:t>
      </w:r>
      <w:r w:rsidR="00EC5AF6">
        <w:rPr>
          <w:rFonts w:ascii="Times New Roman" w:hAnsi="Times New Roman"/>
          <w:sz w:val="24"/>
          <w:szCs w:val="24"/>
        </w:rPr>
        <w:t xml:space="preserve"> </w:t>
      </w:r>
      <w:r w:rsidR="0048138D">
        <w:rPr>
          <w:rFonts w:ascii="Times New Roman" w:hAnsi="Times New Roman"/>
          <w:sz w:val="24"/>
          <w:szCs w:val="24"/>
        </w:rPr>
        <w:t>However, t</w:t>
      </w:r>
      <w:r w:rsidR="00751B9D">
        <w:rPr>
          <w:rFonts w:ascii="Times New Roman" w:hAnsi="Times New Roman"/>
          <w:sz w:val="24"/>
          <w:szCs w:val="24"/>
        </w:rPr>
        <w:t>he s</w:t>
      </w:r>
      <w:r w:rsidR="00EC5AF6">
        <w:rPr>
          <w:rFonts w:ascii="Times New Roman" w:hAnsi="Times New Roman"/>
          <w:sz w:val="24"/>
          <w:szCs w:val="24"/>
        </w:rPr>
        <w:t xml:space="preserve">tability of the </w:t>
      </w:r>
      <w:r w:rsidR="0004733F">
        <w:rPr>
          <w:rFonts w:ascii="Times New Roman" w:hAnsi="Times New Roman"/>
          <w:sz w:val="24"/>
          <w:szCs w:val="24"/>
        </w:rPr>
        <w:t>products</w:t>
      </w:r>
      <w:r w:rsidR="00EC5AF6">
        <w:rPr>
          <w:rFonts w:ascii="Times New Roman" w:hAnsi="Times New Roman"/>
          <w:sz w:val="24"/>
          <w:szCs w:val="24"/>
        </w:rPr>
        <w:t xml:space="preserve"> in frozen solutions is associated with several </w:t>
      </w:r>
      <w:r w:rsidR="005775EB" w:rsidRPr="00634BAB">
        <w:rPr>
          <w:rFonts w:ascii="Times New Roman" w:hAnsi="Times New Roman"/>
          <w:sz w:val="24"/>
          <w:szCs w:val="24"/>
        </w:rPr>
        <w:t>problems</w:t>
      </w:r>
      <w:r w:rsidR="00EC5AF6">
        <w:rPr>
          <w:rFonts w:ascii="Times New Roman" w:hAnsi="Times New Roman"/>
          <w:sz w:val="24"/>
          <w:szCs w:val="24"/>
        </w:rPr>
        <w:t xml:space="preserve"> including potential destabiliz</w:t>
      </w:r>
      <w:r w:rsidR="000C6AC8">
        <w:rPr>
          <w:rFonts w:ascii="Times New Roman" w:hAnsi="Times New Roman"/>
          <w:sz w:val="24"/>
          <w:szCs w:val="24"/>
        </w:rPr>
        <w:t>a</w:t>
      </w:r>
      <w:r w:rsidR="001A40E7">
        <w:rPr>
          <w:rFonts w:ascii="Times New Roman" w:hAnsi="Times New Roman"/>
          <w:sz w:val="24"/>
          <w:szCs w:val="24"/>
        </w:rPr>
        <w:t>tion</w:t>
      </w:r>
      <w:r w:rsidR="00EC5AF6" w:rsidRPr="4F7A4ECA">
        <w:rPr>
          <w:rFonts w:ascii="Times New Roman" w:hAnsi="Times New Roman"/>
          <w:sz w:val="24"/>
          <w:szCs w:val="24"/>
        </w:rPr>
        <w:t xml:space="preserve"> by</w:t>
      </w:r>
      <w:r w:rsidR="00EC5AF6">
        <w:rPr>
          <w:rFonts w:ascii="Times New Roman" w:hAnsi="Times New Roman"/>
          <w:sz w:val="24"/>
          <w:szCs w:val="24"/>
        </w:rPr>
        <w:t xml:space="preserve"> the acidity changes</w:t>
      </w:r>
      <w:r w:rsidR="00491746">
        <w:rPr>
          <w:rFonts w:ascii="Times New Roman" w:hAnsi="Times New Roman"/>
          <w:sz w:val="24"/>
          <w:szCs w:val="24"/>
        </w:rPr>
        <w:t xml:space="preserve"> </w: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begin"/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instrText xml:space="preserve"> ADDIN EN.CITE &lt;EndNote&gt;&lt;Cite&gt;&lt;Author&gt;Bhatnagar&lt;/Author&gt;&lt;Year&gt;2007&lt;/Year&gt;&lt;RecNum&gt;607&lt;/RecNum&gt;&lt;DisplayText&gt;[1]&lt;/DisplayText&gt;&lt;record&gt;&lt;rec-number&gt;607&lt;/rec-number&gt;&lt;foreign-keys&gt;&lt;key app="EN" db-id="dexsf0wr6fd9d5evv5npereuxpp2wpvre5x2" timestamp="0"&gt;607&lt;/key&gt;&lt;/foreign-keys&gt;&lt;ref-type name="Journal Article"&gt;17&lt;/ref-type&gt;&lt;contributors&gt;&lt;authors&gt;&lt;author&gt;Bhatnagar, B. S.&lt;/author&gt;&lt;author&gt;Bogner, R. H.&lt;/author&gt;&lt;author&gt;Pikal, M. J.&lt;/author&gt;&lt;/authors&gt;&lt;/contributors&gt;&lt;auth-address&gt;Univ Connecticut, Sch Pharm, Storrs, CT 06269 USA. Univ Minnesota, Coll Pharm, Minneapolis, MN 55455 USA. Univ Connecticut, Inst Mat Sci, Storrs, CT USA.&lt;/auth-address&gt;&lt;titles&gt;&lt;title&gt;Protein stability during freezing: Separation of stresses and mechanisms of protein stabilization&lt;/title&gt;&lt;secondary-title&gt;Pharmaceutical Development and Technology&lt;/secondary-title&gt;&lt;/titles&gt;&lt;periodical&gt;&lt;full-title&gt;Pharm Dev Technol&lt;/full-title&gt;&lt;abbr-1&gt;Pharmaceutical development and technology&lt;/abbr-1&gt;&lt;/periodical&gt;&lt;pages&gt;505-523&lt;/pages&gt;&lt;volume&gt;12&lt;/volume&gt;&lt;number&gt;5&lt;/number&gt;&lt;keywords&gt;&lt;keyword&gt;cold denaturation&lt;/keyword&gt;&lt;keyword&gt;freeze-concentration&lt;/keyword&gt;&lt;keyword&gt;freeze-drying&lt;/keyword&gt;&lt;keyword&gt;freeze-thawing&lt;/keyword&gt;&lt;keyword&gt;ice-protein interaction&lt;/keyword&gt;&lt;keyword&gt;lyophilization&lt;/keyword&gt;&lt;keyword&gt;phase separation&lt;/keyword&gt;&lt;keyword&gt;protein&lt;/keyword&gt;&lt;keyword&gt;stability&lt;/keyword&gt;&lt;/keywords&gt;&lt;dates&gt;&lt;year&gt;2007&lt;/year&gt;&lt;/dates&gt;&lt;accession-num&gt;ISI:000250699500010&lt;/accession-num&gt;&lt;urls&gt;&lt;related-urls&gt;&lt;url&gt;&amp;lt;Go to ISI&amp;gt;://000250699500010 &lt;/url&gt;&lt;/related-urls&gt;&lt;/urls&gt;&lt;/record&gt;&lt;/Cite&gt;&lt;/EndNote&gt;</w:instrTex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separate"/>
      </w:r>
      <w:r w:rsidR="00491746" w:rsidRPr="00751B9D">
        <w:rPr>
          <w:rFonts w:ascii="Times New Roman" w:hAnsi="Times New Roman"/>
          <w:noProof/>
          <w:sz w:val="24"/>
          <w:szCs w:val="24"/>
          <w:vertAlign w:val="superscript"/>
        </w:rPr>
        <w:t>[1]</w: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end"/>
      </w:r>
      <w:r w:rsidRPr="000C502B">
        <w:rPr>
          <w:rFonts w:ascii="Times New Roman" w:hAnsi="Times New Roman"/>
          <w:sz w:val="24"/>
          <w:szCs w:val="24"/>
        </w:rPr>
        <w:t>.</w:t>
      </w:r>
      <w:r w:rsidR="00EC5AF6">
        <w:rPr>
          <w:rFonts w:ascii="Times New Roman" w:hAnsi="Times New Roman"/>
          <w:sz w:val="24"/>
          <w:szCs w:val="24"/>
        </w:rPr>
        <w:t xml:space="preserve"> </w:t>
      </w:r>
      <w:r w:rsidR="0075352F">
        <w:rPr>
          <w:rFonts w:ascii="Times New Roman" w:hAnsi="Times New Roman"/>
          <w:sz w:val="24"/>
          <w:szCs w:val="24"/>
        </w:rPr>
        <w:t>Until now, t</w:t>
      </w:r>
      <w:r w:rsidR="00B24231">
        <w:rPr>
          <w:rFonts w:ascii="Times New Roman" w:hAnsi="Times New Roman"/>
          <w:sz w:val="24"/>
          <w:szCs w:val="24"/>
        </w:rPr>
        <w:t xml:space="preserve">here </w:t>
      </w:r>
      <w:r w:rsidR="7906E66A" w:rsidRPr="02EE544C">
        <w:rPr>
          <w:rFonts w:ascii="Times New Roman" w:hAnsi="Times New Roman"/>
          <w:sz w:val="24"/>
          <w:szCs w:val="24"/>
        </w:rPr>
        <w:t>have been</w:t>
      </w:r>
      <w:r w:rsidR="00B24231">
        <w:rPr>
          <w:rFonts w:ascii="Times New Roman" w:hAnsi="Times New Roman"/>
          <w:sz w:val="24"/>
          <w:szCs w:val="24"/>
        </w:rPr>
        <w:t xml:space="preserve"> no </w:t>
      </w:r>
      <w:r w:rsidR="004C09A6">
        <w:rPr>
          <w:rFonts w:ascii="Times New Roman" w:hAnsi="Times New Roman"/>
          <w:sz w:val="24"/>
          <w:szCs w:val="24"/>
        </w:rPr>
        <w:t xml:space="preserve">systematic studies </w:t>
      </w:r>
      <w:r w:rsidR="0074531C">
        <w:rPr>
          <w:rFonts w:ascii="Times New Roman" w:hAnsi="Times New Roman"/>
          <w:sz w:val="24"/>
          <w:szCs w:val="24"/>
        </w:rPr>
        <w:t xml:space="preserve">related </w:t>
      </w:r>
      <w:r w:rsidR="001941FB" w:rsidRPr="001941FB">
        <w:rPr>
          <w:rFonts w:ascii="Times New Roman" w:hAnsi="Times New Roman"/>
          <w:sz w:val="24"/>
          <w:szCs w:val="24"/>
        </w:rPr>
        <w:t xml:space="preserve">to the acidity variations </w:t>
      </w:r>
      <w:r w:rsidR="005A5168">
        <w:rPr>
          <w:rFonts w:ascii="Times New Roman" w:hAnsi="Times New Roman"/>
          <w:sz w:val="24"/>
          <w:szCs w:val="24"/>
        </w:rPr>
        <w:t>in buffer</w:t>
      </w:r>
      <w:r w:rsidR="00711FB6">
        <w:rPr>
          <w:rFonts w:ascii="Times New Roman" w:hAnsi="Times New Roman"/>
          <w:sz w:val="24"/>
          <w:szCs w:val="24"/>
        </w:rPr>
        <w:t>s</w:t>
      </w:r>
      <w:r w:rsidR="005A5168">
        <w:rPr>
          <w:rFonts w:ascii="Times New Roman" w:hAnsi="Times New Roman"/>
          <w:sz w:val="24"/>
          <w:szCs w:val="24"/>
        </w:rPr>
        <w:t xml:space="preserve"> due to </w:t>
      </w:r>
      <w:r w:rsidR="00263FA6">
        <w:rPr>
          <w:rFonts w:ascii="Times New Roman" w:hAnsi="Times New Roman"/>
          <w:sz w:val="24"/>
          <w:szCs w:val="24"/>
        </w:rPr>
        <w:t>freezing</w:t>
      </w:r>
      <w:r w:rsidR="0040481F">
        <w:rPr>
          <w:rFonts w:ascii="Times New Roman" w:hAnsi="Times New Roman"/>
          <w:sz w:val="24"/>
          <w:szCs w:val="24"/>
        </w:rPr>
        <w:t>,</w:t>
      </w:r>
      <w:r w:rsidR="00263FA6">
        <w:rPr>
          <w:rFonts w:ascii="Times New Roman" w:hAnsi="Times New Roman"/>
          <w:sz w:val="24"/>
          <w:szCs w:val="24"/>
        </w:rPr>
        <w:t xml:space="preserve"> </w:t>
      </w:r>
      <w:r w:rsidR="00214AB4">
        <w:rPr>
          <w:rFonts w:ascii="Times New Roman" w:hAnsi="Times New Roman"/>
          <w:sz w:val="24"/>
          <w:szCs w:val="24"/>
        </w:rPr>
        <w:t xml:space="preserve">thus creating a loophole </w:t>
      </w:r>
      <w:r w:rsidR="00976232">
        <w:rPr>
          <w:rFonts w:ascii="Times New Roman" w:hAnsi="Times New Roman"/>
          <w:sz w:val="24"/>
          <w:szCs w:val="24"/>
        </w:rPr>
        <w:t xml:space="preserve">in </w:t>
      </w:r>
      <w:r w:rsidR="00B91DD7">
        <w:rPr>
          <w:rFonts w:ascii="Times New Roman" w:hAnsi="Times New Roman"/>
          <w:sz w:val="24"/>
          <w:szCs w:val="24"/>
        </w:rPr>
        <w:t>the freeze-</w:t>
      </w:r>
      <w:r w:rsidR="00124EC1">
        <w:rPr>
          <w:rFonts w:ascii="Times New Roman" w:hAnsi="Times New Roman"/>
          <w:sz w:val="24"/>
          <w:szCs w:val="24"/>
        </w:rPr>
        <w:t>drying process</w:t>
      </w:r>
      <w:r w:rsidR="00DA4C83">
        <w:rPr>
          <w:rFonts w:ascii="Times New Roman" w:hAnsi="Times New Roman"/>
          <w:sz w:val="24"/>
          <w:szCs w:val="24"/>
        </w:rPr>
        <w:t xml:space="preserve"> </w: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begin"/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instrText xml:space="preserve"> ADDIN EN.CITE &lt;EndNote&gt;&lt;Cite&gt;&lt;Author&gt;Vetráková&lt;/Author&gt;&lt;Year&gt;2019&lt;/Year&gt;&lt;RecNum&gt;2895&lt;/RecNum&gt;&lt;DisplayText&gt;[2]&lt;/DisplayText&gt;&lt;record&gt;&lt;rec-number&gt;2895&lt;/rec-number&gt;&lt;foreign-keys&gt;&lt;key app="EN" db-id="dexsf0wr6fd9d5evv5npereuxpp2wpvre5x2" timestamp="0"&gt;2895&lt;/key&gt;&lt;/foreign-keys&gt;&lt;ref-type name="Journal Article"&gt;17&lt;/ref-type&gt;&lt;contributors&gt;&lt;authors&gt;&lt;author&gt;Vetráková, Ľubica&lt;/author&gt;&lt;author&gt;Neděla, Vilém&lt;/author&gt;&lt;author&gt;Runštuk, Jiří&lt;/author&gt;&lt;author&gt;Heger, Dominik&lt;/author&gt;&lt;/authors&gt;&lt;/contributors&gt;&lt;titles&gt;&lt;title&gt;The morphology of ice and liquid brine in an environmental scanning electron microscope: a study of the freezing methods&lt;/title&gt;&lt;secondary-title&gt;The Cryosphere&lt;/secondary-title&gt;&lt;/titles&gt;&lt;periodical&gt;&lt;full-title&gt;The Cryosphere&lt;/full-title&gt;&lt;abbr-1&gt;The Cryosphere&lt;/abbr-1&gt;&lt;/periodical&gt;&lt;pages&gt;2385-2405&lt;/pages&gt;&lt;volume&gt;13&lt;/volume&gt;&lt;number&gt;9&lt;/number&gt;&lt;section&gt;2385&lt;/section&gt;&lt;dates&gt;&lt;year&gt;2019&lt;/year&gt;&lt;/dates&gt;&lt;isbn&gt;1994-0424&lt;/isbn&gt;&lt;urls&gt;&lt;/urls&gt;&lt;electronic-resource-num&gt;10.5194/tc-13-2385-2019&lt;/electronic-resource-num&gt;&lt;/record&gt;&lt;/Cite&gt;&lt;/EndNote&gt;</w:instrTex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separate"/>
      </w:r>
      <w:r w:rsidR="00491746" w:rsidRPr="00751B9D">
        <w:rPr>
          <w:rFonts w:ascii="Times New Roman" w:hAnsi="Times New Roman"/>
          <w:noProof/>
          <w:sz w:val="24"/>
          <w:szCs w:val="24"/>
          <w:vertAlign w:val="superscript"/>
        </w:rPr>
        <w:t>[2]</w: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end"/>
      </w:r>
      <w:r w:rsidR="001941FB" w:rsidRPr="001941FB">
        <w:rPr>
          <w:rFonts w:ascii="Times New Roman" w:hAnsi="Times New Roman"/>
          <w:sz w:val="24"/>
          <w:szCs w:val="24"/>
        </w:rPr>
        <w:t>.</w:t>
      </w:r>
      <w:r w:rsidR="00EC5AF6">
        <w:rPr>
          <w:rFonts w:ascii="Times New Roman" w:hAnsi="Times New Roman"/>
          <w:sz w:val="24"/>
          <w:szCs w:val="24"/>
        </w:rPr>
        <w:t xml:space="preserve"> </w:t>
      </w:r>
    </w:p>
    <w:p w14:paraId="1DAB357B" w14:textId="4319470A" w:rsidR="00016627" w:rsidRDefault="00EC5AF6" w:rsidP="000166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work explores </w:t>
      </w:r>
      <w:r w:rsidR="0031510E">
        <w:rPr>
          <w:rFonts w:ascii="Times New Roman" w:hAnsi="Times New Roman"/>
          <w:sz w:val="24"/>
          <w:szCs w:val="24"/>
        </w:rPr>
        <w:t xml:space="preserve">a method that measures </w:t>
      </w:r>
      <w:r>
        <w:rPr>
          <w:rFonts w:ascii="Times New Roman" w:hAnsi="Times New Roman"/>
          <w:sz w:val="24"/>
          <w:szCs w:val="24"/>
        </w:rPr>
        <w:t xml:space="preserve">the ability </w:t>
      </w:r>
      <w:r w:rsidR="0069199F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frozen buffer solution</w:t>
      </w:r>
      <w:r w:rsidR="0069199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protonate the sulfonephthalein indicators which is used as a</w:t>
      </w:r>
      <w:r w:rsidRPr="196E1508">
        <w:rPr>
          <w:rFonts w:ascii="Times New Roman" w:hAnsi="Times New Roman"/>
          <w:sz w:val="24"/>
          <w:szCs w:val="24"/>
        </w:rPr>
        <w:t xml:space="preserve"> spectroscopical</w:t>
      </w:r>
      <w:r w:rsidR="00DA03B2">
        <w:rPr>
          <w:rFonts w:ascii="Times New Roman" w:hAnsi="Times New Roman"/>
          <w:sz w:val="24"/>
          <w:szCs w:val="24"/>
        </w:rPr>
        <w:t xml:space="preserve"> acid base</w:t>
      </w:r>
      <w:r>
        <w:rPr>
          <w:rFonts w:ascii="Times New Roman" w:hAnsi="Times New Roman"/>
          <w:sz w:val="24"/>
          <w:szCs w:val="24"/>
        </w:rPr>
        <w:t xml:space="preserve"> probe</w:t>
      </w:r>
      <w:r w:rsidR="00DA4C83">
        <w:rPr>
          <w:rFonts w:ascii="Times New Roman" w:hAnsi="Times New Roman"/>
          <w:sz w:val="24"/>
          <w:szCs w:val="24"/>
        </w:rPr>
        <w:t xml:space="preserve"> </w: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begin"/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instrText xml:space="preserve"> ADDIN EN.CITE &lt;EndNote&gt;&lt;Cite&gt;&lt;Author&gt;Vetráková&lt;/Author&gt;&lt;Year&gt;2017&lt;/Year&gt;&lt;RecNum&gt;1497&lt;/RecNum&gt;&lt;DisplayText&gt;[3]&lt;/DisplayText&gt;&lt;record&gt;&lt;rec-number&gt;1497&lt;/rec-number&gt;&lt;foreign-keys&gt;&lt;key app="EN" db-id="dexsf0wr6fd9d5evv5npereuxpp2wpvre5x2" timestamp="0"&gt;1497&lt;/key&gt;&lt;/foreign-keys&gt;&lt;ref-type name="Journal Article"&gt;17&lt;/ref-type&gt;&lt;contributors&gt;&lt;authors&gt;&lt;author&gt;Vetráková, Ľubica&lt;/author&gt;&lt;author&gt;Vykoukal, Vít&lt;/author&gt;&lt;author&gt;Heger, Dominik&lt;/author&gt;&lt;/authors&gt;&lt;/contributors&gt;&lt;titles&gt;&lt;title&gt;Comparing the acidities of aqueous, frozen, and freeze-dried phosphate buffers: Is there a “pH memory” effect?&lt;/title&gt;&lt;secondary-title&gt;International Journal of Pharmaceutics&lt;/secondary-title&gt;&lt;/titles&gt;&lt;periodical&gt;&lt;full-title&gt;International Journal of Pharmaceutics&lt;/full-title&gt;&lt;/periodical&gt;&lt;pages&gt;316-325&lt;/pages&gt;&lt;volume&gt;530&lt;/volume&gt;&lt;number&gt;1-2&lt;/number&gt;&lt;dates&gt;&lt;year&gt;2017&lt;/year&gt;&lt;/dates&gt;&lt;isbn&gt;03785173&lt;/isbn&gt;&lt;urls&gt;&lt;/urls&gt;&lt;electronic-resource-num&gt;10.1016/j.ijpharm.2017.08.005&lt;/electronic-resource-num&gt;&lt;/record&gt;&lt;/Cite&gt;&lt;/EndNote&gt;</w:instrTex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separate"/>
      </w:r>
      <w:r w:rsidR="00491746" w:rsidRPr="00751B9D">
        <w:rPr>
          <w:rFonts w:ascii="Times New Roman" w:hAnsi="Times New Roman"/>
          <w:noProof/>
          <w:sz w:val="24"/>
          <w:szCs w:val="24"/>
          <w:vertAlign w:val="superscript"/>
        </w:rPr>
        <w:t>[3]</w: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</w:t>
      </w:r>
      <w:r w:rsidRPr="196E1508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indicators are present in the </w:t>
      </w:r>
      <w:r w:rsidR="00B13CCF">
        <w:rPr>
          <w:rFonts w:ascii="Times New Roman" w:hAnsi="Times New Roman"/>
          <w:sz w:val="24"/>
          <w:szCs w:val="24"/>
        </w:rPr>
        <w:t xml:space="preserve">freeze concentrate solution </w:t>
      </w:r>
      <w:r>
        <w:rPr>
          <w:rFonts w:ascii="Times New Roman" w:hAnsi="Times New Roman"/>
          <w:sz w:val="24"/>
          <w:szCs w:val="24"/>
        </w:rPr>
        <w:t>and give</w:t>
      </w:r>
      <w:r w:rsidR="00691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precise knowledge about the change in proton activity. Most commonly used pharmaceutical buffers like carboxylic acid, amino acid</w:t>
      </w:r>
      <w:r w:rsidR="009921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amine buffer</w:t>
      </w:r>
      <w:r w:rsidR="001941FB">
        <w:rPr>
          <w:rFonts w:ascii="Times New Roman" w:hAnsi="Times New Roman"/>
          <w:sz w:val="24"/>
          <w:szCs w:val="24"/>
        </w:rPr>
        <w:t>,</w:t>
      </w:r>
      <w:r w:rsidR="00751B9D">
        <w:rPr>
          <w:rFonts w:ascii="Times New Roman" w:hAnsi="Times New Roman"/>
          <w:sz w:val="24"/>
          <w:szCs w:val="24"/>
        </w:rPr>
        <w:t xml:space="preserve"> </w:t>
      </w:r>
      <w:r w:rsidR="001941FB">
        <w:rPr>
          <w:rFonts w:ascii="Times New Roman" w:hAnsi="Times New Roman"/>
          <w:sz w:val="24"/>
          <w:szCs w:val="24"/>
        </w:rPr>
        <w:t xml:space="preserve">Good’s </w:t>
      </w:r>
      <w:r w:rsidR="00F82536">
        <w:rPr>
          <w:rFonts w:ascii="Times New Roman" w:hAnsi="Times New Roman"/>
          <w:sz w:val="24"/>
          <w:szCs w:val="24"/>
        </w:rPr>
        <w:t>b</w:t>
      </w:r>
      <w:r w:rsidR="001941FB">
        <w:rPr>
          <w:rFonts w:ascii="Times New Roman" w:hAnsi="Times New Roman"/>
          <w:sz w:val="24"/>
          <w:szCs w:val="24"/>
        </w:rPr>
        <w:t>uffer</w:t>
      </w:r>
      <w:r w:rsidR="00DA4C83">
        <w:rPr>
          <w:rFonts w:ascii="Times New Roman" w:hAnsi="Times New Roman"/>
          <w:sz w:val="24"/>
          <w:szCs w:val="24"/>
        </w:rPr>
        <w:t xml:space="preserve"> </w: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begin"/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instrText xml:space="preserve"> ADDIN EN.CITE &lt;EndNote&gt;&lt;Cite&gt;&lt;Author&gt;Vesely&lt;/Author&gt;&lt;Year&gt;2020&lt;/Year&gt;&lt;RecNum&gt;3889&lt;/RecNum&gt;&lt;DisplayText&gt;[4]&lt;/DisplayText&gt;&lt;record&gt;&lt;rec-number&gt;3889&lt;/rec-number&gt;&lt;foreign-keys&gt;&lt;key app="EN" db-id="dexsf0wr6fd9d5evv5npereuxpp2wpvre5x2" timestamp="1607975715"&gt;3889&lt;/key&gt;&lt;key app="ENWeb" db-id=""&gt;0&lt;/key&gt;&lt;/foreign-keys&gt;&lt;ref-type name="Journal Article"&gt;17&lt;/ref-type&gt;&lt;contributors&gt;&lt;authors&gt;&lt;author&gt;Vesely, L.&lt;/author&gt;&lt;author&gt;Susrisweta, B.&lt;/author&gt;&lt;author&gt;Heger, D.&lt;/author&gt;&lt;/authors&gt;&lt;/contributors&gt;&lt;auth-address&gt;Department of chemistry, Faculty of Science, Masaryk University, Kamenice 5, 625 00 Brno, Czech Republic.&lt;/auth-address&gt;&lt;titles&gt;&lt;title&gt;Making Good&amp;apos;s Buffers Good for Freezing: the Acidity Changes and their Elimination via Mixing with Sodium Phosphate&lt;/title&gt;&lt;secondary-title&gt;Int J Pharm&lt;/secondary-title&gt;&lt;/titles&gt;&lt;periodical&gt;&lt;full-title&gt;Int J Pharm&lt;/full-title&gt;&lt;/periodical&gt;&lt;pages&gt;120128&lt;/pages&gt;&lt;edition&gt;2020/12/04&lt;/edition&gt;&lt;keywords&gt;&lt;keyword&gt;Hammett acidity function&lt;/keyword&gt;&lt;keyword&gt;cooling rate&lt;/keyword&gt;&lt;keyword&gt;cryopreservation&lt;/keyword&gt;&lt;keyword&gt;freeze-concentrated solution&lt;/keyword&gt;&lt;keyword&gt;pH shift&lt;/keyword&gt;&lt;keyword&gt;stabilization&lt;/keyword&gt;&lt;keyword&gt;sulfonephthalein indicators&lt;/keyword&gt;&lt;keyword&gt;competing financial interests or personal relationships that could have appeared&lt;/keyword&gt;&lt;keyword&gt;to influence the work reported in this paper.&lt;/keyword&gt;&lt;/keywords&gt;&lt;dates&gt;&lt;year&gt;2020&lt;/year&gt;&lt;pub-dates&gt;&lt;date&gt;Nov 30&lt;/date&gt;&lt;/pub-dates&gt;&lt;/dates&gt;&lt;isbn&gt;1873-3476 (Electronic)&amp;#xD;0378-5173 (Linking)&lt;/isbn&gt;&lt;accession-num&gt;33271311&lt;/accession-num&gt;&lt;urls&gt;&lt;related-urls&gt;&lt;url&gt;https://www.ncbi.nlm.nih.gov/pubmed/33271311&lt;/url&gt;&lt;/related-urls&gt;&lt;/urls&gt;&lt;electronic-resource-num&gt;10.1016/j.ijpharm.2020.120128&lt;/electronic-resource-num&gt;&lt;/record&gt;&lt;/Cite&gt;&lt;/EndNote&gt;</w:instrTex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separate"/>
      </w:r>
      <w:r w:rsidR="00491746" w:rsidRPr="00751B9D">
        <w:rPr>
          <w:rFonts w:ascii="Times New Roman" w:hAnsi="Times New Roman"/>
          <w:noProof/>
          <w:sz w:val="24"/>
          <w:szCs w:val="24"/>
          <w:vertAlign w:val="superscript"/>
        </w:rPr>
        <w:t>[4]</w:t>
      </w:r>
      <w:r w:rsidR="00491746" w:rsidRPr="00751B9D">
        <w:rPr>
          <w:rFonts w:ascii="Times New Roman" w:hAnsi="Times New Roman"/>
          <w:sz w:val="24"/>
          <w:szCs w:val="24"/>
          <w:vertAlign w:val="superscript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and phosphate buffer</w:t>
      </w:r>
      <w:r w:rsidR="00B91DD7">
        <w:rPr>
          <w:rFonts w:ascii="Times New Roman" w:hAnsi="Times New Roman"/>
          <w:sz w:val="24"/>
          <w:szCs w:val="24"/>
        </w:rPr>
        <w:t xml:space="preserve"> </w:t>
      </w:r>
      <w:r w:rsidR="00711FB6">
        <w:rPr>
          <w:rFonts w:ascii="Times New Roman" w:hAnsi="Times New Roman"/>
          <w:sz w:val="24"/>
          <w:szCs w:val="24"/>
        </w:rPr>
        <w:t xml:space="preserve">were </w:t>
      </w:r>
      <w:r>
        <w:rPr>
          <w:rFonts w:ascii="Times New Roman" w:hAnsi="Times New Roman"/>
          <w:sz w:val="24"/>
          <w:szCs w:val="24"/>
        </w:rPr>
        <w:t xml:space="preserve">frozen and the acidity </w:t>
      </w:r>
      <w:r w:rsidR="00340C64">
        <w:rPr>
          <w:rFonts w:ascii="Times New Roman" w:hAnsi="Times New Roman"/>
          <w:sz w:val="24"/>
          <w:szCs w:val="24"/>
        </w:rPr>
        <w:t xml:space="preserve">change </w:t>
      </w:r>
      <w:r>
        <w:rPr>
          <w:rFonts w:ascii="Times New Roman" w:hAnsi="Times New Roman"/>
          <w:sz w:val="24"/>
          <w:szCs w:val="24"/>
        </w:rPr>
        <w:t xml:space="preserve">was investigated for </w:t>
      </w:r>
      <w:r w:rsidR="3DD5E122" w:rsidRPr="3C691936">
        <w:rPr>
          <w:rFonts w:ascii="Times New Roman" w:hAnsi="Times New Roman"/>
          <w:sz w:val="24"/>
          <w:szCs w:val="24"/>
        </w:rPr>
        <w:t xml:space="preserve">various </w:t>
      </w:r>
      <w:r>
        <w:rPr>
          <w:rFonts w:ascii="Times New Roman" w:hAnsi="Times New Roman"/>
          <w:sz w:val="24"/>
          <w:szCs w:val="24"/>
        </w:rPr>
        <w:t>concentration</w:t>
      </w:r>
      <w:r w:rsidR="00B91DD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 w:rsidR="00751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temperature</w:t>
      </w:r>
      <w:r w:rsidR="00B91DD7">
        <w:rPr>
          <w:rFonts w:ascii="Times New Roman" w:hAnsi="Times New Roman"/>
          <w:sz w:val="24"/>
          <w:szCs w:val="24"/>
        </w:rPr>
        <w:t>s</w:t>
      </w:r>
      <w:r w:rsidR="00751B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rate</w:t>
      </w:r>
      <w:r w:rsidR="00B91DD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cooling.</w:t>
      </w:r>
      <w:r w:rsidR="00C845FD">
        <w:rPr>
          <w:rFonts w:ascii="Times New Roman" w:hAnsi="Times New Roman"/>
          <w:sz w:val="24"/>
          <w:szCs w:val="24"/>
        </w:rPr>
        <w:t xml:space="preserve"> </w:t>
      </w:r>
      <w:r w:rsidR="00D57F30">
        <w:rPr>
          <w:rFonts w:ascii="Times New Roman" w:hAnsi="Times New Roman"/>
          <w:sz w:val="24"/>
          <w:szCs w:val="24"/>
        </w:rPr>
        <w:t>Furthermore,</w:t>
      </w:r>
      <w:r w:rsidR="00CE477A">
        <w:rPr>
          <w:rFonts w:ascii="Times New Roman" w:hAnsi="Times New Roman"/>
          <w:sz w:val="24"/>
          <w:szCs w:val="24"/>
        </w:rPr>
        <w:t xml:space="preserve"> </w:t>
      </w:r>
      <w:r w:rsidR="00E82207">
        <w:rPr>
          <w:rFonts w:ascii="Times New Roman" w:hAnsi="Times New Roman"/>
          <w:sz w:val="24"/>
          <w:szCs w:val="24"/>
        </w:rPr>
        <w:t>differential scanning</w:t>
      </w:r>
      <w:r w:rsidR="0071582E">
        <w:rPr>
          <w:rFonts w:ascii="Times New Roman" w:hAnsi="Times New Roman"/>
          <w:sz w:val="24"/>
          <w:szCs w:val="24"/>
        </w:rPr>
        <w:t xml:space="preserve"> </w:t>
      </w:r>
      <w:r w:rsidR="00D71C10">
        <w:rPr>
          <w:rFonts w:ascii="Times New Roman" w:hAnsi="Times New Roman"/>
          <w:sz w:val="24"/>
          <w:szCs w:val="24"/>
        </w:rPr>
        <w:t>calorimetry</w:t>
      </w:r>
      <w:r w:rsidR="00E82207">
        <w:rPr>
          <w:rFonts w:ascii="Times New Roman" w:hAnsi="Times New Roman"/>
          <w:sz w:val="24"/>
          <w:szCs w:val="24"/>
        </w:rPr>
        <w:t xml:space="preserve"> and optical cryomicroscopy studies </w:t>
      </w:r>
      <w:r w:rsidR="00DC4E12">
        <w:rPr>
          <w:rFonts w:ascii="Times New Roman" w:hAnsi="Times New Roman"/>
          <w:sz w:val="24"/>
          <w:szCs w:val="24"/>
        </w:rPr>
        <w:t>were used to find the crystallisation of the buffer components</w:t>
      </w:r>
      <w:r w:rsidR="00226544">
        <w:rPr>
          <w:rFonts w:ascii="Times New Roman" w:hAnsi="Times New Roman"/>
          <w:sz w:val="24"/>
          <w:szCs w:val="24"/>
        </w:rPr>
        <w:t xml:space="preserve"> leading to acidity change</w:t>
      </w:r>
      <w:r w:rsidR="003C0721">
        <w:rPr>
          <w:rFonts w:ascii="Times New Roman" w:hAnsi="Times New Roman"/>
          <w:sz w:val="24"/>
          <w:szCs w:val="24"/>
        </w:rPr>
        <w:t>.</w:t>
      </w:r>
      <w:r w:rsidR="00C3174D">
        <w:rPr>
          <w:rFonts w:ascii="Times New Roman" w:hAnsi="Times New Roman"/>
          <w:sz w:val="24"/>
          <w:szCs w:val="24"/>
        </w:rPr>
        <w:t xml:space="preserve"> At last,</w:t>
      </w:r>
      <w:r w:rsidR="003C0721">
        <w:rPr>
          <w:rFonts w:ascii="Times New Roman" w:hAnsi="Times New Roman"/>
          <w:sz w:val="24"/>
          <w:szCs w:val="24"/>
        </w:rPr>
        <w:t xml:space="preserve"> </w:t>
      </w:r>
      <w:r w:rsidR="00C3174D">
        <w:rPr>
          <w:rFonts w:ascii="Times New Roman" w:hAnsi="Times New Roman"/>
          <w:sz w:val="24"/>
          <w:szCs w:val="24"/>
        </w:rPr>
        <w:t>t</w:t>
      </w:r>
      <w:r w:rsidR="003C0721">
        <w:rPr>
          <w:rFonts w:ascii="Times New Roman" w:hAnsi="Times New Roman"/>
          <w:sz w:val="24"/>
          <w:szCs w:val="24"/>
        </w:rPr>
        <w:t>he results</w:t>
      </w:r>
      <w:r w:rsidR="00C3174D">
        <w:rPr>
          <w:rFonts w:ascii="Times New Roman" w:hAnsi="Times New Roman"/>
          <w:sz w:val="24"/>
          <w:szCs w:val="24"/>
        </w:rPr>
        <w:t xml:space="preserve"> obtained </w:t>
      </w:r>
      <w:r w:rsidR="00340C64">
        <w:rPr>
          <w:rFonts w:ascii="Times New Roman" w:hAnsi="Times New Roman"/>
          <w:sz w:val="24"/>
          <w:szCs w:val="24"/>
        </w:rPr>
        <w:t xml:space="preserve">were compared with </w:t>
      </w:r>
      <w:r w:rsidR="005413E9">
        <w:rPr>
          <w:rFonts w:ascii="Times New Roman" w:hAnsi="Times New Roman"/>
          <w:sz w:val="24"/>
          <w:szCs w:val="24"/>
        </w:rPr>
        <w:t>the</w:t>
      </w:r>
      <w:r w:rsidR="00714174">
        <w:rPr>
          <w:rFonts w:ascii="Times New Roman" w:hAnsi="Times New Roman"/>
          <w:sz w:val="24"/>
          <w:szCs w:val="24"/>
        </w:rPr>
        <w:t xml:space="preserve"> results of </w:t>
      </w:r>
      <w:r w:rsidR="00B91DD7">
        <w:rPr>
          <w:rFonts w:ascii="Times New Roman" w:hAnsi="Times New Roman"/>
          <w:sz w:val="24"/>
          <w:szCs w:val="24"/>
        </w:rPr>
        <w:t xml:space="preserve">the </w:t>
      </w:r>
      <w:r w:rsidR="00714174">
        <w:rPr>
          <w:rFonts w:ascii="Times New Roman" w:hAnsi="Times New Roman"/>
          <w:sz w:val="24"/>
          <w:szCs w:val="24"/>
        </w:rPr>
        <w:t>most commonly</w:t>
      </w:r>
      <w:r w:rsidR="005413E9">
        <w:rPr>
          <w:rFonts w:ascii="Times New Roman" w:hAnsi="Times New Roman"/>
          <w:sz w:val="24"/>
          <w:szCs w:val="24"/>
        </w:rPr>
        <w:t xml:space="preserve"> used </w:t>
      </w:r>
      <w:r w:rsidR="00B91DD7">
        <w:rPr>
          <w:rFonts w:ascii="Times New Roman" w:hAnsi="Times New Roman"/>
          <w:sz w:val="24"/>
          <w:szCs w:val="24"/>
        </w:rPr>
        <w:t>low-</w:t>
      </w:r>
      <w:r w:rsidR="005413E9">
        <w:rPr>
          <w:rFonts w:ascii="Times New Roman" w:hAnsi="Times New Roman"/>
          <w:sz w:val="24"/>
          <w:szCs w:val="24"/>
        </w:rPr>
        <w:t xml:space="preserve">temperature pH </w:t>
      </w:r>
      <w:r w:rsidR="00714174">
        <w:rPr>
          <w:rFonts w:ascii="Times New Roman" w:hAnsi="Times New Roman"/>
          <w:sz w:val="24"/>
          <w:szCs w:val="24"/>
        </w:rPr>
        <w:t>electrode</w:t>
      </w:r>
      <w:r w:rsidR="00C3174D">
        <w:rPr>
          <w:rFonts w:ascii="Times New Roman" w:hAnsi="Times New Roman"/>
          <w:sz w:val="24"/>
          <w:szCs w:val="24"/>
        </w:rPr>
        <w:t xml:space="preserve"> </w:t>
      </w:r>
      <w:r w:rsidR="00C474D1">
        <w:rPr>
          <w:rFonts w:ascii="Times New Roman" w:hAnsi="Times New Roman"/>
          <w:sz w:val="24"/>
          <w:szCs w:val="24"/>
        </w:rPr>
        <w:t>method</w:t>
      </w:r>
      <w:r w:rsidR="00DA4C83">
        <w:rPr>
          <w:rFonts w:ascii="Times New Roman" w:hAnsi="Times New Roman"/>
          <w:sz w:val="24"/>
          <w:szCs w:val="24"/>
        </w:rPr>
        <w:t xml:space="preserve"> </w:t>
      </w:r>
      <w:r w:rsidR="00075953" w:rsidRPr="00075953">
        <w:rPr>
          <w:rFonts w:ascii="Times New Roman" w:hAnsi="Times New Roman"/>
          <w:sz w:val="24"/>
          <w:szCs w:val="24"/>
          <w:vertAlign w:val="superscript"/>
        </w:rPr>
        <w:fldChar w:fldCharType="begin"/>
      </w:r>
      <w:r w:rsidR="00075953" w:rsidRPr="00075953">
        <w:rPr>
          <w:rFonts w:ascii="Times New Roman" w:hAnsi="Times New Roman"/>
          <w:sz w:val="24"/>
          <w:szCs w:val="24"/>
          <w:vertAlign w:val="superscript"/>
        </w:rPr>
        <w:instrText xml:space="preserve"> ADDIN EN.CITE &lt;EndNote&gt;&lt;Cite&gt;&lt;Author&gt;Sundaramurthi&lt;/Author&gt;&lt;Year&gt;2010&lt;/Year&gt;&lt;RecNum&gt;942&lt;/RecNum&gt;&lt;DisplayText&gt;[5]&lt;/DisplayText&gt;&lt;record&gt;&lt;rec-number&gt;942&lt;/rec-number&gt;&lt;foreign-keys&gt;&lt;key app="EN" db-id="dexsf0wr6fd9d5evv5npereuxpp2wpvre5x2" timestamp="0"&gt;942&lt;/key&gt;&lt;/foreign-keys&gt;&lt;ref-type name="Journal Article"&gt;17&lt;/ref-type&gt;&lt;contributors&gt;&lt;authors&gt;&lt;author&gt;Sundaramurthi, P.&lt;/author&gt;&lt;author&gt;Shalaev, E.&lt;/author&gt;&lt;author&gt;Suryanarayanan, R.&lt;/author&gt;&lt;/authors&gt;&lt;/contributors&gt;&lt;auth-address&gt;[Sundaramurthi, Prakash; Suryanarayanan, Raj] Univ Minnesota, Dept Pharmaceut, Minneapolis, MN 55455 USA. [Shalaev, Evgenyi] Pfizer Inc, Groton, CT 06349 USA.&lt;/auth-address&gt;&lt;titles&gt;&lt;title&gt;Calorimetric and Diffractometric Evidence for the Sequential Crystallization of Buffer Components and the Consequential pH Swing in Frozen Solutions&lt;/title&gt;&lt;secondary-title&gt;Journal of Physical Chemistry B&lt;/secondary-title&gt;&lt;/titles&gt;&lt;periodical&gt;&lt;full-title&gt;Journal of Physical Chemistry B&lt;/full-title&gt;&lt;abbr-1&gt;J. Phys. Chem. B&lt;/abbr-1&gt;&lt;/periodical&gt;&lt;pages&gt;4915-4923&lt;/pages&gt;&lt;volume&gt;114&lt;/volume&gt;&lt;number&gt;14&lt;/number&gt;&lt;dates&gt;&lt;year&gt;&lt;style face="normal" font="default" charset="238" size="100%"&gt;2010&lt;/style&gt;&lt;/year&gt;&lt;pub-dates&gt;&lt;date&gt;Apr&lt;/date&gt;&lt;/pub-dates&gt;&lt;/dates&gt;&lt;accession-num&gt;ISI:000276341500023&lt;/accession-num&gt;&lt;urls&gt;&lt;related-urls&gt;&lt;url&gt;&amp;lt;Go to ISI&amp;gt;://000276341500023 &lt;/url&gt;&lt;/related-urls&gt;&lt;/urls&gt;&lt;/record&gt;&lt;/Cite&gt;&lt;/EndNote&gt;</w:instrText>
      </w:r>
      <w:r w:rsidR="00075953" w:rsidRPr="00075953">
        <w:rPr>
          <w:rFonts w:ascii="Times New Roman" w:hAnsi="Times New Roman"/>
          <w:sz w:val="24"/>
          <w:szCs w:val="24"/>
          <w:vertAlign w:val="superscript"/>
        </w:rPr>
        <w:fldChar w:fldCharType="separate"/>
      </w:r>
      <w:r w:rsidR="00075953" w:rsidRPr="00075953">
        <w:rPr>
          <w:rFonts w:ascii="Times New Roman" w:hAnsi="Times New Roman"/>
          <w:noProof/>
          <w:sz w:val="24"/>
          <w:szCs w:val="24"/>
          <w:vertAlign w:val="superscript"/>
        </w:rPr>
        <w:t>[5]</w:t>
      </w:r>
      <w:r w:rsidR="00075953" w:rsidRPr="00075953">
        <w:rPr>
          <w:rFonts w:ascii="Times New Roman" w:hAnsi="Times New Roman"/>
          <w:sz w:val="24"/>
          <w:szCs w:val="24"/>
          <w:vertAlign w:val="superscript"/>
        </w:rPr>
        <w:fldChar w:fldCharType="end"/>
      </w:r>
      <w:r w:rsidR="00C474D1">
        <w:rPr>
          <w:rFonts w:ascii="Times New Roman" w:hAnsi="Times New Roman"/>
          <w:sz w:val="24"/>
          <w:szCs w:val="24"/>
        </w:rPr>
        <w:t>.</w:t>
      </w:r>
      <w:r w:rsidR="00714174">
        <w:rPr>
          <w:rFonts w:ascii="Times New Roman" w:hAnsi="Times New Roman"/>
          <w:sz w:val="24"/>
          <w:szCs w:val="24"/>
        </w:rPr>
        <w:t xml:space="preserve"> </w:t>
      </w:r>
    </w:p>
    <w:p w14:paraId="71D040DD" w14:textId="7F01BF8B" w:rsidR="00FA43D4" w:rsidRPr="00A13B58" w:rsidRDefault="00FA43D4" w:rsidP="00FA43D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EBC0B" wp14:editId="154A1A51">
                <wp:simplePos x="0" y="0"/>
                <wp:positionH relativeFrom="margin">
                  <wp:posOffset>-506095</wp:posOffset>
                </wp:positionH>
                <wp:positionV relativeFrom="paragraph">
                  <wp:posOffset>272415</wp:posOffset>
                </wp:positionV>
                <wp:extent cx="6720840" cy="22860"/>
                <wp:effectExtent l="0" t="0" r="2286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806635E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4472c4 [3204]" strokeweight=".5pt" from="-39.85pt,21.45pt" to="489.35pt,23.25pt" w14:anchorId="0FA6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U0oAEAAJgDAAAOAAAAZHJzL2Uyb0RvYy54bWysU8tu2zAQvBfoPxC815KFwjUEyz4kSC5F&#10;G7TpBzDU0iLAF0jWkv++y7UtB22BIEEuFB87szuzq81usoYdICbtXceXi5ozcNL32u07/uvx7tOa&#10;s5SF64XxDjp+hMR3248fNmNoofGDNz1EhiQutWPo+JBzaKsqyQGsSAsfwOGj8tGKjMe4r/ooRmS3&#10;pmrqelWNPvYhegkp4e3t6ZFviV8pkPm7UgkyMx3H2jKtkdanslbbjWj3UYRBy3MZ4g1VWKEdJp2p&#10;bkUW7HfU/1BZLaNPXuWF9LbySmkJpAHVLOu/1PwcRADSguakMNuU3o9WfjvcuIeINowhtSk8xKJi&#10;UtGWL9bHJjLrOJsFU2YSL1dfmnr9GT2V+NY06xWZWV3BIaZ8D96ysum40a5oEa04fE0ZE2LoJQQP&#10;1/S0y0cDJdi4H6CY7jHhktA0GXBjIjsI7KmQElxelj4iH0UXmNLGzMD6ZeA5vkCBpuY14BlBmb3L&#10;M9hq5+P/sufpUrI6xV8cOOkuFjz5/kiNIWuw/aTwPKplvp6fCX79obZ/AAAA//8DAFBLAwQUAAYA&#10;CAAAACEAGw1CeuEAAAAJAQAADwAAAGRycy9kb3ducmV2LnhtbEyPwUrDQBCG74LvsIzgrd0YtGli&#10;NqUUxFooxSrU4zY7JtHsbMhum/TtHU96nH8+/vkmX4y2FWfsfeNIwd00AoFUOtNQpeD97WkyB+GD&#10;JqNbR6jggh4WxfVVrjPjBnrF8z5UgkvIZ1pBHUKXSenLGq32U9ch8e7T9VYHHvtKml4PXG5bGUfR&#10;TFrdEF+odYerGsvv/ckq2Pbr9Wq5uXzR7sMOh3hz2L2Mz0rd3ozLRxABx/AHw68+q0PBTkd3IuNF&#10;q2CSpAmjCu7jFAQDaTLn4MjB7AFkkcv/HxQ/AAAA//8DAFBLAQItABQABgAIAAAAIQC2gziS/gAA&#10;AOEBAAATAAAAAAAAAAAAAAAAAAAAAABbQ29udGVudF9UeXBlc10ueG1sUEsBAi0AFAAGAAgAAAAh&#10;ADj9If/WAAAAlAEAAAsAAAAAAAAAAAAAAAAALwEAAF9yZWxzLy5yZWxzUEsBAi0AFAAGAAgAAAAh&#10;APA6xTSgAQAAmAMAAA4AAAAAAAAAAAAAAAAALgIAAGRycy9lMm9Eb2MueG1sUEsBAi0AFAAGAAgA&#10;AAAhABsNQnrhAAAACQEAAA8AAAAAAAAAAAAAAAAA+gMAAGRycy9kb3ducmV2LnhtbFBLBQYAAAAA&#10;BAAEAPMAAAAIBQAAAAA=&#10;">
                <v:stroke joinstyle="miter"/>
                <w10:wrap anchorx="margin"/>
              </v:line>
            </w:pict>
          </mc:Fallback>
        </mc:AlternateContent>
      </w:r>
      <w:r w:rsidR="00396C48" w:rsidRPr="00396C48">
        <w:rPr>
          <w:rFonts w:ascii="Times New Roman" w:hAnsi="Times New Roman"/>
          <w:sz w:val="20"/>
          <w:szCs w:val="20"/>
        </w:rPr>
        <w:t xml:space="preserve">Keywords: Biological buffers, cryopreservation, freeze-induced acidity </w:t>
      </w:r>
      <w:r w:rsidR="0008314E">
        <w:rPr>
          <w:rFonts w:ascii="Times New Roman" w:hAnsi="Times New Roman"/>
          <w:sz w:val="20"/>
          <w:szCs w:val="20"/>
        </w:rPr>
        <w:t>change</w:t>
      </w:r>
      <w:r w:rsidR="00396C48" w:rsidRPr="00396C48">
        <w:rPr>
          <w:rFonts w:ascii="Times New Roman" w:hAnsi="Times New Roman"/>
          <w:sz w:val="20"/>
          <w:szCs w:val="20"/>
        </w:rPr>
        <w:t>, freezing</w:t>
      </w:r>
    </w:p>
    <w:p w14:paraId="10CE6D82" w14:textId="77777777" w:rsidR="00075953" w:rsidRPr="00075953" w:rsidRDefault="00491746" w:rsidP="00075953">
      <w:pPr>
        <w:pStyle w:val="EndNoteBibliography"/>
        <w:spacing w:after="0"/>
        <w:ind w:left="720" w:hanging="720"/>
      </w:pPr>
      <w:r w:rsidRPr="00EC0E99">
        <w:rPr>
          <w:rFonts w:ascii="Times New Roman" w:hAnsi="Times New Roman" w:cs="Times New Roman"/>
          <w:sz w:val="20"/>
          <w:szCs w:val="20"/>
        </w:rPr>
        <w:fldChar w:fldCharType="begin"/>
      </w:r>
      <w:r w:rsidRPr="00EC0E99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EC0E99">
        <w:rPr>
          <w:rFonts w:ascii="Times New Roman" w:hAnsi="Times New Roman" w:cs="Times New Roman"/>
          <w:sz w:val="20"/>
          <w:szCs w:val="20"/>
        </w:rPr>
        <w:fldChar w:fldCharType="separate"/>
      </w:r>
      <w:r w:rsidR="00075953" w:rsidRPr="00075953">
        <w:t>1.</w:t>
      </w:r>
      <w:r w:rsidR="00075953" w:rsidRPr="00075953">
        <w:tab/>
        <w:t xml:space="preserve">Bhatnagar, B.S., R.H. Bogner, and M.J. Pikal, </w:t>
      </w:r>
      <w:r w:rsidR="00075953" w:rsidRPr="00075953">
        <w:rPr>
          <w:i/>
        </w:rPr>
        <w:t>Protein stability during freezing: Separation of stresses and mechanisms of protein stabilization.</w:t>
      </w:r>
      <w:r w:rsidR="00075953" w:rsidRPr="00075953">
        <w:t xml:space="preserve"> Pharmaceutical Development and Technology, 2007. </w:t>
      </w:r>
      <w:r w:rsidR="00075953" w:rsidRPr="00075953">
        <w:rPr>
          <w:b/>
        </w:rPr>
        <w:t>12</w:t>
      </w:r>
      <w:r w:rsidR="00075953" w:rsidRPr="00075953">
        <w:t>(5): p. 505-523.</w:t>
      </w:r>
    </w:p>
    <w:p w14:paraId="50392CDD" w14:textId="77777777" w:rsidR="00075953" w:rsidRPr="00075953" w:rsidRDefault="00075953" w:rsidP="00075953">
      <w:pPr>
        <w:pStyle w:val="EndNoteBibliography"/>
        <w:spacing w:after="0"/>
        <w:ind w:left="720" w:hanging="720"/>
      </w:pPr>
      <w:r w:rsidRPr="00075953">
        <w:t>2.</w:t>
      </w:r>
      <w:r w:rsidRPr="00075953">
        <w:tab/>
        <w:t xml:space="preserve">Vetráková, Ľ., et al., </w:t>
      </w:r>
      <w:r w:rsidRPr="00075953">
        <w:rPr>
          <w:i/>
        </w:rPr>
        <w:t>The morphology of ice and liquid brine in an environmental scanning electron microscope: a study of the freezing methods.</w:t>
      </w:r>
      <w:r w:rsidRPr="00075953">
        <w:t xml:space="preserve"> The Cryosphere, 2019. </w:t>
      </w:r>
      <w:r w:rsidRPr="00075953">
        <w:rPr>
          <w:b/>
        </w:rPr>
        <w:t>13</w:t>
      </w:r>
      <w:r w:rsidRPr="00075953">
        <w:t>(9): p. 2385-2405.</w:t>
      </w:r>
    </w:p>
    <w:p w14:paraId="26D0A33F" w14:textId="77777777" w:rsidR="00075953" w:rsidRPr="00075953" w:rsidRDefault="00075953" w:rsidP="00075953">
      <w:pPr>
        <w:pStyle w:val="EndNoteBibliography"/>
        <w:spacing w:after="0"/>
        <w:ind w:left="720" w:hanging="720"/>
      </w:pPr>
      <w:r w:rsidRPr="00075953">
        <w:t>3.</w:t>
      </w:r>
      <w:r w:rsidRPr="00075953">
        <w:tab/>
        <w:t xml:space="preserve">Vetráková, Ľ., V. Vykoukal, and D. Heger, </w:t>
      </w:r>
      <w:r w:rsidRPr="00075953">
        <w:rPr>
          <w:i/>
        </w:rPr>
        <w:t>Comparing the acidities of aqueous, frozen, and freeze-dried phosphate buffers: Is there a “pH memory” effect?</w:t>
      </w:r>
      <w:r w:rsidRPr="00075953">
        <w:t xml:space="preserve"> International Journal of Pharmaceutics, 2017. </w:t>
      </w:r>
      <w:r w:rsidRPr="00075953">
        <w:rPr>
          <w:b/>
        </w:rPr>
        <w:t>530</w:t>
      </w:r>
      <w:r w:rsidRPr="00075953">
        <w:t>(1-2): p. 316-325.</w:t>
      </w:r>
    </w:p>
    <w:p w14:paraId="15463307" w14:textId="77777777" w:rsidR="00075953" w:rsidRPr="00075953" w:rsidRDefault="00075953" w:rsidP="00075953">
      <w:pPr>
        <w:pStyle w:val="EndNoteBibliography"/>
        <w:spacing w:after="0"/>
        <w:ind w:left="720" w:hanging="720"/>
      </w:pPr>
      <w:r w:rsidRPr="00075953">
        <w:t>4.</w:t>
      </w:r>
      <w:r w:rsidRPr="00075953">
        <w:tab/>
        <w:t xml:space="preserve">Vesely, L., B. Susrisweta, and D. Heger, </w:t>
      </w:r>
      <w:r w:rsidRPr="00075953">
        <w:rPr>
          <w:i/>
        </w:rPr>
        <w:t>Making Good's Buffers Good for Freezing: the Acidity Changes and their Elimination via Mixing with Sodium Phosphate.</w:t>
      </w:r>
      <w:r w:rsidRPr="00075953">
        <w:t xml:space="preserve"> Int J Pharm, 2020: p. 120128.</w:t>
      </w:r>
    </w:p>
    <w:p w14:paraId="7BE96160" w14:textId="77777777" w:rsidR="00075953" w:rsidRPr="00075953" w:rsidRDefault="00075953" w:rsidP="00075953">
      <w:pPr>
        <w:pStyle w:val="EndNoteBibliography"/>
        <w:ind w:left="720" w:hanging="720"/>
      </w:pPr>
      <w:r w:rsidRPr="00075953">
        <w:t>5.</w:t>
      </w:r>
      <w:r w:rsidRPr="00075953">
        <w:tab/>
        <w:t xml:space="preserve">Sundaramurthi, P., E. Shalaev, and R. Suryanarayanan, </w:t>
      </w:r>
      <w:r w:rsidRPr="00075953">
        <w:rPr>
          <w:i/>
        </w:rPr>
        <w:t>Calorimetric and Diffractometric Evidence for the Sequential Crystallization of Buffer Components and the Consequential pH Swing in Frozen Solutions.</w:t>
      </w:r>
      <w:r w:rsidRPr="00075953">
        <w:t xml:space="preserve"> Journal of Physical Chemistry B, 2010. </w:t>
      </w:r>
      <w:r w:rsidRPr="00075953">
        <w:rPr>
          <w:b/>
        </w:rPr>
        <w:t>114</w:t>
      </w:r>
      <w:r w:rsidRPr="00075953">
        <w:t>(14): p. 4915-4923.</w:t>
      </w:r>
    </w:p>
    <w:p w14:paraId="72CF60AD" w14:textId="035E58BE" w:rsidR="005E720D" w:rsidRPr="003117DE" w:rsidRDefault="00491746">
      <w:pPr>
        <w:jc w:val="both"/>
        <w:rPr>
          <w:rFonts w:ascii="Times New Roman" w:hAnsi="Times New Roman"/>
          <w:sz w:val="20"/>
          <w:szCs w:val="20"/>
        </w:rPr>
      </w:pPr>
      <w:r w:rsidRPr="00EC0E99">
        <w:rPr>
          <w:rFonts w:ascii="Times New Roman" w:hAnsi="Times New Roman"/>
          <w:sz w:val="20"/>
          <w:szCs w:val="20"/>
        </w:rPr>
        <w:lastRenderedPageBreak/>
        <w:fldChar w:fldCharType="end"/>
      </w:r>
    </w:p>
    <w:sectPr w:rsidR="005E720D" w:rsidRPr="003117DE" w:rsidSect="00BC36E2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B6D53" w14:textId="77777777" w:rsidR="00CD751A" w:rsidRDefault="00CD751A">
      <w:pPr>
        <w:spacing w:after="0" w:line="240" w:lineRule="auto"/>
      </w:pPr>
      <w:r>
        <w:separator/>
      </w:r>
    </w:p>
  </w:endnote>
  <w:endnote w:type="continuationSeparator" w:id="0">
    <w:p w14:paraId="02C89B9E" w14:textId="77777777" w:rsidR="00CD751A" w:rsidRDefault="00CD751A">
      <w:pPr>
        <w:spacing w:after="0" w:line="240" w:lineRule="auto"/>
      </w:pPr>
      <w:r>
        <w:continuationSeparator/>
      </w:r>
    </w:p>
  </w:endnote>
  <w:endnote w:type="continuationNotice" w:id="1">
    <w:p w14:paraId="4D596D41" w14:textId="77777777" w:rsidR="00CD751A" w:rsidRDefault="00CD7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DAA13" w14:textId="77777777" w:rsidR="00CD751A" w:rsidRDefault="00CD75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C9CE1A" w14:textId="77777777" w:rsidR="00CD751A" w:rsidRDefault="00CD751A">
      <w:pPr>
        <w:spacing w:after="0" w:line="240" w:lineRule="auto"/>
      </w:pPr>
      <w:r>
        <w:continuationSeparator/>
      </w:r>
    </w:p>
  </w:footnote>
  <w:footnote w:type="continuationNotice" w:id="1">
    <w:p w14:paraId="3056E669" w14:textId="77777777" w:rsidR="00CD751A" w:rsidRDefault="00CD751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GAgszE0NTY1MzSyUdpeDU4uLM/DyQAkPLWgCd0U4WLQ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xsf0wr6fd9d5evv5npereuxpp2wpvre5x2&quot;&gt;buffers&lt;record-ids&gt;&lt;item&gt;607&lt;/item&gt;&lt;item&gt;942&lt;/item&gt;&lt;item&gt;1497&lt;/item&gt;&lt;item&gt;2895&lt;/item&gt;&lt;item&gt;3889&lt;/item&gt;&lt;/record-ids&gt;&lt;/item&gt;&lt;/Libraries&gt;"/>
  </w:docVars>
  <w:rsids>
    <w:rsidRoot w:val="005E720D"/>
    <w:rsid w:val="0001365D"/>
    <w:rsid w:val="00015CD3"/>
    <w:rsid w:val="00016627"/>
    <w:rsid w:val="00016751"/>
    <w:rsid w:val="000351F3"/>
    <w:rsid w:val="000408B5"/>
    <w:rsid w:val="0004153A"/>
    <w:rsid w:val="0004733F"/>
    <w:rsid w:val="00075953"/>
    <w:rsid w:val="00081E64"/>
    <w:rsid w:val="0008314E"/>
    <w:rsid w:val="000902C7"/>
    <w:rsid w:val="000A4D8C"/>
    <w:rsid w:val="000A7150"/>
    <w:rsid w:val="000C4BDB"/>
    <w:rsid w:val="000C502B"/>
    <w:rsid w:val="000C6AC8"/>
    <w:rsid w:val="000E2858"/>
    <w:rsid w:val="000E79AF"/>
    <w:rsid w:val="000F71B7"/>
    <w:rsid w:val="00111CF2"/>
    <w:rsid w:val="0012415A"/>
    <w:rsid w:val="00124EC1"/>
    <w:rsid w:val="0013123A"/>
    <w:rsid w:val="001518A9"/>
    <w:rsid w:val="00154DCD"/>
    <w:rsid w:val="00160EE2"/>
    <w:rsid w:val="00180B8D"/>
    <w:rsid w:val="00187658"/>
    <w:rsid w:val="00190FCD"/>
    <w:rsid w:val="001941FB"/>
    <w:rsid w:val="00196B6B"/>
    <w:rsid w:val="001A40E7"/>
    <w:rsid w:val="001B0F85"/>
    <w:rsid w:val="001B4C16"/>
    <w:rsid w:val="001E407E"/>
    <w:rsid w:val="001E7018"/>
    <w:rsid w:val="0021141A"/>
    <w:rsid w:val="00214AB4"/>
    <w:rsid w:val="00226544"/>
    <w:rsid w:val="0024765F"/>
    <w:rsid w:val="00263FA6"/>
    <w:rsid w:val="00293501"/>
    <w:rsid w:val="00297F82"/>
    <w:rsid w:val="002C6DB7"/>
    <w:rsid w:val="002D1B02"/>
    <w:rsid w:val="002F5641"/>
    <w:rsid w:val="00303CE6"/>
    <w:rsid w:val="00305A16"/>
    <w:rsid w:val="003117DE"/>
    <w:rsid w:val="0031510E"/>
    <w:rsid w:val="00315CD1"/>
    <w:rsid w:val="00340C64"/>
    <w:rsid w:val="00371044"/>
    <w:rsid w:val="00377481"/>
    <w:rsid w:val="00396C48"/>
    <w:rsid w:val="003C0721"/>
    <w:rsid w:val="003F7903"/>
    <w:rsid w:val="0040481F"/>
    <w:rsid w:val="00414117"/>
    <w:rsid w:val="004566D6"/>
    <w:rsid w:val="004731EF"/>
    <w:rsid w:val="0048138D"/>
    <w:rsid w:val="00491746"/>
    <w:rsid w:val="004C09A6"/>
    <w:rsid w:val="004D5FC6"/>
    <w:rsid w:val="004F6E95"/>
    <w:rsid w:val="005221F8"/>
    <w:rsid w:val="0052439B"/>
    <w:rsid w:val="00524F7C"/>
    <w:rsid w:val="00531CC9"/>
    <w:rsid w:val="005413E9"/>
    <w:rsid w:val="00545828"/>
    <w:rsid w:val="005775EB"/>
    <w:rsid w:val="00587797"/>
    <w:rsid w:val="005A5168"/>
    <w:rsid w:val="005A7572"/>
    <w:rsid w:val="005B0086"/>
    <w:rsid w:val="005B02D4"/>
    <w:rsid w:val="005B2A50"/>
    <w:rsid w:val="005C07EC"/>
    <w:rsid w:val="005C3E73"/>
    <w:rsid w:val="005E720D"/>
    <w:rsid w:val="00607E20"/>
    <w:rsid w:val="0062045D"/>
    <w:rsid w:val="00623616"/>
    <w:rsid w:val="0062429B"/>
    <w:rsid w:val="0062652F"/>
    <w:rsid w:val="00634BAB"/>
    <w:rsid w:val="00643C28"/>
    <w:rsid w:val="00647889"/>
    <w:rsid w:val="00663E15"/>
    <w:rsid w:val="00676CF4"/>
    <w:rsid w:val="00685BF3"/>
    <w:rsid w:val="0069199F"/>
    <w:rsid w:val="006A0715"/>
    <w:rsid w:val="006A492E"/>
    <w:rsid w:val="006A5A5B"/>
    <w:rsid w:val="006D506B"/>
    <w:rsid w:val="006D699D"/>
    <w:rsid w:val="006F6E0C"/>
    <w:rsid w:val="006F72B3"/>
    <w:rsid w:val="00711FB6"/>
    <w:rsid w:val="00714174"/>
    <w:rsid w:val="0071582E"/>
    <w:rsid w:val="0074531C"/>
    <w:rsid w:val="0075193A"/>
    <w:rsid w:val="00751B9D"/>
    <w:rsid w:val="0075352F"/>
    <w:rsid w:val="0075422A"/>
    <w:rsid w:val="0078589B"/>
    <w:rsid w:val="007A51F2"/>
    <w:rsid w:val="007B7F6B"/>
    <w:rsid w:val="007C0D52"/>
    <w:rsid w:val="007D1E7F"/>
    <w:rsid w:val="007E27F6"/>
    <w:rsid w:val="007F11D8"/>
    <w:rsid w:val="00841835"/>
    <w:rsid w:val="00860CE3"/>
    <w:rsid w:val="008663FD"/>
    <w:rsid w:val="008767E3"/>
    <w:rsid w:val="008942D5"/>
    <w:rsid w:val="008B1B68"/>
    <w:rsid w:val="008C5797"/>
    <w:rsid w:val="0090016A"/>
    <w:rsid w:val="00913D05"/>
    <w:rsid w:val="009154F2"/>
    <w:rsid w:val="00917556"/>
    <w:rsid w:val="00921847"/>
    <w:rsid w:val="00922FC8"/>
    <w:rsid w:val="009306E1"/>
    <w:rsid w:val="0093661D"/>
    <w:rsid w:val="0094703A"/>
    <w:rsid w:val="00961D72"/>
    <w:rsid w:val="00976232"/>
    <w:rsid w:val="00983037"/>
    <w:rsid w:val="00985466"/>
    <w:rsid w:val="00992150"/>
    <w:rsid w:val="009C7691"/>
    <w:rsid w:val="009F5FB4"/>
    <w:rsid w:val="009F69E3"/>
    <w:rsid w:val="00A117A3"/>
    <w:rsid w:val="00A13B4C"/>
    <w:rsid w:val="00A13B58"/>
    <w:rsid w:val="00A2490B"/>
    <w:rsid w:val="00A566D2"/>
    <w:rsid w:val="00A567F4"/>
    <w:rsid w:val="00A61B52"/>
    <w:rsid w:val="00A65DFB"/>
    <w:rsid w:val="00AC7F3A"/>
    <w:rsid w:val="00AD7867"/>
    <w:rsid w:val="00AE3C33"/>
    <w:rsid w:val="00B02021"/>
    <w:rsid w:val="00B13CCF"/>
    <w:rsid w:val="00B1636E"/>
    <w:rsid w:val="00B24231"/>
    <w:rsid w:val="00B85457"/>
    <w:rsid w:val="00B91DD7"/>
    <w:rsid w:val="00BC2F30"/>
    <w:rsid w:val="00BC36E2"/>
    <w:rsid w:val="00BD6AB3"/>
    <w:rsid w:val="00C06CDE"/>
    <w:rsid w:val="00C3174D"/>
    <w:rsid w:val="00C3184F"/>
    <w:rsid w:val="00C34A45"/>
    <w:rsid w:val="00C4282F"/>
    <w:rsid w:val="00C474D1"/>
    <w:rsid w:val="00C845FD"/>
    <w:rsid w:val="00C941E5"/>
    <w:rsid w:val="00CA525A"/>
    <w:rsid w:val="00CB1C7B"/>
    <w:rsid w:val="00CB733E"/>
    <w:rsid w:val="00CD3C0D"/>
    <w:rsid w:val="00CD751A"/>
    <w:rsid w:val="00CE477A"/>
    <w:rsid w:val="00CE6C8A"/>
    <w:rsid w:val="00CF45E0"/>
    <w:rsid w:val="00D00BCA"/>
    <w:rsid w:val="00D0681E"/>
    <w:rsid w:val="00D1387A"/>
    <w:rsid w:val="00D4523B"/>
    <w:rsid w:val="00D45AE4"/>
    <w:rsid w:val="00D45BF6"/>
    <w:rsid w:val="00D57F30"/>
    <w:rsid w:val="00D71C10"/>
    <w:rsid w:val="00D72B82"/>
    <w:rsid w:val="00DA03B2"/>
    <w:rsid w:val="00DA094B"/>
    <w:rsid w:val="00DA3F1B"/>
    <w:rsid w:val="00DA4C83"/>
    <w:rsid w:val="00DA5DF6"/>
    <w:rsid w:val="00DB020C"/>
    <w:rsid w:val="00DB0F5F"/>
    <w:rsid w:val="00DC4E12"/>
    <w:rsid w:val="00DF65A6"/>
    <w:rsid w:val="00E00615"/>
    <w:rsid w:val="00E22E12"/>
    <w:rsid w:val="00E26067"/>
    <w:rsid w:val="00E45053"/>
    <w:rsid w:val="00E74C2B"/>
    <w:rsid w:val="00E82207"/>
    <w:rsid w:val="00E85BB4"/>
    <w:rsid w:val="00E86970"/>
    <w:rsid w:val="00EA005C"/>
    <w:rsid w:val="00EC0E99"/>
    <w:rsid w:val="00EC5AF6"/>
    <w:rsid w:val="00EF11BF"/>
    <w:rsid w:val="00EF537E"/>
    <w:rsid w:val="00F14715"/>
    <w:rsid w:val="00F343E6"/>
    <w:rsid w:val="00F72855"/>
    <w:rsid w:val="00F82536"/>
    <w:rsid w:val="00F86AC7"/>
    <w:rsid w:val="00FA2B19"/>
    <w:rsid w:val="00FA43D4"/>
    <w:rsid w:val="00FD6B5F"/>
    <w:rsid w:val="00FF7A04"/>
    <w:rsid w:val="02EE544C"/>
    <w:rsid w:val="085D3DDF"/>
    <w:rsid w:val="0DB992A0"/>
    <w:rsid w:val="1669E7C3"/>
    <w:rsid w:val="1752E70D"/>
    <w:rsid w:val="18DC9F46"/>
    <w:rsid w:val="196E1508"/>
    <w:rsid w:val="1B1DD795"/>
    <w:rsid w:val="1C36130C"/>
    <w:rsid w:val="2BB779CE"/>
    <w:rsid w:val="393CA2F2"/>
    <w:rsid w:val="3C691936"/>
    <w:rsid w:val="3DD5E122"/>
    <w:rsid w:val="3FECADEA"/>
    <w:rsid w:val="40D08A35"/>
    <w:rsid w:val="43D7A51E"/>
    <w:rsid w:val="44AB242B"/>
    <w:rsid w:val="452A7F03"/>
    <w:rsid w:val="4E42F6A9"/>
    <w:rsid w:val="4F7A4ECA"/>
    <w:rsid w:val="56AA9443"/>
    <w:rsid w:val="5CA99B91"/>
    <w:rsid w:val="5E6F45C4"/>
    <w:rsid w:val="62DA3F1A"/>
    <w:rsid w:val="6422A03C"/>
    <w:rsid w:val="650B27D7"/>
    <w:rsid w:val="6730305A"/>
    <w:rsid w:val="6D8796B5"/>
    <w:rsid w:val="761BFF00"/>
    <w:rsid w:val="7822D366"/>
    <w:rsid w:val="7906E66A"/>
    <w:rsid w:val="7B52B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60AB"/>
  <w15:docId w15:val="{97CFE1BF-ADDB-49AC-AB43-553F24E9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IN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ln"/>
    <w:link w:val="EndNoteBibliographyTitleChar"/>
    <w:rsid w:val="00491746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491746"/>
    <w:rPr>
      <w:rFonts w:cs="Calibri"/>
      <w:noProof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491746"/>
    <w:pPr>
      <w:spacing w:line="240" w:lineRule="auto"/>
      <w:jc w:val="both"/>
    </w:pPr>
    <w:rPr>
      <w:rFonts w:cs="Calibri"/>
      <w:noProof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491746"/>
    <w:rPr>
      <w:rFonts w:cs="Calibri"/>
      <w:noProof/>
      <w:lang w:val="en-US"/>
    </w:rPr>
  </w:style>
  <w:style w:type="paragraph" w:styleId="Zhlav">
    <w:name w:val="header"/>
    <w:basedOn w:val="Normln"/>
    <w:link w:val="ZhlavChar"/>
    <w:uiPriority w:val="99"/>
    <w:semiHidden/>
    <w:unhideWhenUsed/>
    <w:rsid w:val="0053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F45E0"/>
  </w:style>
  <w:style w:type="paragraph" w:styleId="Zpat">
    <w:name w:val="footer"/>
    <w:basedOn w:val="Normln"/>
    <w:link w:val="ZpatChar"/>
    <w:uiPriority w:val="99"/>
    <w:semiHidden/>
    <w:unhideWhenUsed/>
    <w:rsid w:val="0053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F45E0"/>
  </w:style>
  <w:style w:type="paragraph" w:styleId="Revize">
    <w:name w:val="Revision"/>
    <w:hidden/>
    <w:uiPriority w:val="99"/>
    <w:semiHidden/>
    <w:rsid w:val="008663FD"/>
    <w:pPr>
      <w:autoSpaceDN/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B0F5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4EAEC1AECDD479F0913B1E9074F3F" ma:contentTypeVersion="12" ma:contentTypeDescription="Vytvoří nový dokument" ma:contentTypeScope="" ma:versionID="39fbfa763958bab9f090253510092e26">
  <xsd:schema xmlns:xsd="http://www.w3.org/2001/XMLSchema" xmlns:xs="http://www.w3.org/2001/XMLSchema" xmlns:p="http://schemas.microsoft.com/office/2006/metadata/properties" xmlns:ns3="ab5b59dc-8ad3-4911-993d-fbbf83e36f6e" xmlns:ns4="ee152243-e15d-4d21-aebe-9aec54bd7914" targetNamespace="http://schemas.microsoft.com/office/2006/metadata/properties" ma:root="true" ma:fieldsID="67157aed43af21c57e5b0d7765493aca" ns3:_="" ns4:_="">
    <xsd:import namespace="ab5b59dc-8ad3-4911-993d-fbbf83e36f6e"/>
    <xsd:import namespace="ee152243-e15d-4d21-aebe-9aec54bd79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59dc-8ad3-4911-993d-fbbf83e36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52243-e15d-4d21-aebe-9aec54bd791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82053-F43A-4DAE-B020-BA3BBE998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AD8D1F-45BE-4351-86AE-4CB38E09B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E2A71-8AA4-4023-82B3-381726B71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b59dc-8ad3-4911-993d-fbbf83e36f6e"/>
    <ds:schemaRef ds:uri="ee152243-e15d-4d21-aebe-9aec54bd7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8237</Characters>
  <Application>Microsoft Office Word</Application>
  <DocSecurity>0</DocSecurity>
  <Lines>126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susri behera</dc:creator>
  <cp:keywords/>
  <dc:description/>
  <cp:lastModifiedBy>Jiří Pinkas</cp:lastModifiedBy>
  <cp:revision>2</cp:revision>
  <cp:lastPrinted>2022-07-15T22:13:00Z</cp:lastPrinted>
  <dcterms:created xsi:type="dcterms:W3CDTF">2023-01-08T13:39:00Z</dcterms:created>
  <dcterms:modified xsi:type="dcterms:W3CDTF">2023-01-08T13:39:00Z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0x010100D004EAEC1AECDD479F0913B1E9074F3F</vt:lpwstr>
  </property>
</Properties>
</file>