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4D82" w14:textId="70D0A8AB" w:rsidR="009D56CE" w:rsidRPr="00133BD9" w:rsidRDefault="00D854B3" w:rsidP="002F14CC">
      <w:pPr>
        <w:pStyle w:val="2-title"/>
        <w:spacing w:after="240"/>
        <w:rPr>
          <w:sz w:val="26"/>
          <w:szCs w:val="26"/>
        </w:rPr>
      </w:pPr>
      <w:r>
        <w:rPr>
          <w:sz w:val="26"/>
          <w:szCs w:val="26"/>
        </w:rPr>
        <w:t>Ethanol dehydrogenation over Cu-SiO</w:t>
      </w:r>
      <w:r w:rsidRPr="00D854B3">
        <w:rPr>
          <w:sz w:val="26"/>
          <w:szCs w:val="26"/>
          <w:vertAlign w:val="subscript"/>
        </w:rPr>
        <w:t>2</w:t>
      </w:r>
      <w:r>
        <w:rPr>
          <w:sz w:val="26"/>
          <w:szCs w:val="26"/>
        </w:rPr>
        <w:t xml:space="preserve"> catalysts prepared by sol-gel, impregnation, and deposition techniques</w:t>
      </w:r>
    </w:p>
    <w:p w14:paraId="07625B7B" w14:textId="5932F9EA" w:rsidR="009D56CE" w:rsidRPr="00073E06" w:rsidRDefault="003B67F1" w:rsidP="009D56CE">
      <w:pPr>
        <w:pStyle w:val="3-author"/>
        <w:spacing w:after="480"/>
        <w:rPr>
          <w:sz w:val="24"/>
          <w:szCs w:val="24"/>
          <w:vertAlign w:val="superscript"/>
        </w:rPr>
      </w:pPr>
      <w:r>
        <w:rPr>
          <w:sz w:val="24"/>
          <w:szCs w:val="24"/>
          <w:u w:val="single"/>
        </w:rPr>
        <w:t>Tomas Pokorny</w:t>
      </w:r>
      <w:r w:rsidR="009D56CE" w:rsidRPr="00133BD9">
        <w:rPr>
          <w:sz w:val="24"/>
          <w:szCs w:val="24"/>
          <w:vertAlign w:val="superscript"/>
        </w:rPr>
        <w:t>1</w:t>
      </w:r>
      <w:r w:rsidR="009D56CE" w:rsidRPr="00133BD9">
        <w:rPr>
          <w:sz w:val="24"/>
          <w:szCs w:val="24"/>
        </w:rPr>
        <w:t xml:space="preserve">, </w:t>
      </w:r>
      <w:r w:rsidR="00053085">
        <w:rPr>
          <w:sz w:val="24"/>
          <w:szCs w:val="24"/>
        </w:rPr>
        <w:t>Vit Vykoukal</w:t>
      </w:r>
      <w:r w:rsidR="00707FD4">
        <w:rPr>
          <w:sz w:val="24"/>
          <w:szCs w:val="24"/>
        </w:rPr>
        <w:t xml:space="preserve"> </w:t>
      </w:r>
      <w:r w:rsidR="00707FD4">
        <w:rPr>
          <w:sz w:val="24"/>
          <w:szCs w:val="24"/>
          <w:vertAlign w:val="superscript"/>
        </w:rPr>
        <w:t>1</w:t>
      </w:r>
      <w:r w:rsidR="00073E06">
        <w:rPr>
          <w:sz w:val="24"/>
          <w:szCs w:val="24"/>
        </w:rPr>
        <w:t>, Petr Machac</w:t>
      </w:r>
      <w:r w:rsidR="00073E06">
        <w:rPr>
          <w:sz w:val="24"/>
          <w:szCs w:val="24"/>
          <w:vertAlign w:val="superscript"/>
        </w:rPr>
        <w:t>1</w:t>
      </w:r>
      <w:r w:rsidR="007760FE">
        <w:rPr>
          <w:sz w:val="24"/>
          <w:szCs w:val="24"/>
        </w:rPr>
        <w:t>, Ales Styskalik</w:t>
      </w:r>
      <w:r w:rsidR="007760FE" w:rsidRPr="00133BD9">
        <w:rPr>
          <w:sz w:val="24"/>
          <w:szCs w:val="24"/>
          <w:vertAlign w:val="superscript"/>
        </w:rPr>
        <w:t>1</w:t>
      </w:r>
    </w:p>
    <w:p w14:paraId="5A7E0628" w14:textId="77777777" w:rsidR="00D61251" w:rsidRDefault="009D56CE" w:rsidP="00DB3A8E">
      <w:pPr>
        <w:pStyle w:val="4-dept"/>
        <w:spacing w:after="240"/>
        <w:rPr>
          <w:sz w:val="20"/>
          <w:szCs w:val="20"/>
        </w:rPr>
      </w:pPr>
      <w:r w:rsidRPr="00133BD9">
        <w:rPr>
          <w:rStyle w:val="Znakapoznpodarou"/>
          <w:sz w:val="20"/>
          <w:szCs w:val="20"/>
        </w:rPr>
        <w:t>1</w:t>
      </w:r>
      <w:r w:rsidRPr="00133BD9">
        <w:rPr>
          <w:sz w:val="20"/>
          <w:szCs w:val="20"/>
        </w:rPr>
        <w:t xml:space="preserve"> </w:t>
      </w:r>
      <w:r w:rsidR="00707FD4">
        <w:rPr>
          <w:sz w:val="20"/>
          <w:szCs w:val="20"/>
        </w:rPr>
        <w:t>Masaryk University</w:t>
      </w:r>
      <w:r w:rsidRPr="00133BD9">
        <w:rPr>
          <w:sz w:val="20"/>
          <w:szCs w:val="20"/>
        </w:rPr>
        <w:t xml:space="preserve">, </w:t>
      </w:r>
      <w:r w:rsidR="00D854B3">
        <w:rPr>
          <w:sz w:val="20"/>
          <w:szCs w:val="20"/>
        </w:rPr>
        <w:t>D</w:t>
      </w:r>
      <w:r w:rsidR="00707FD4">
        <w:rPr>
          <w:sz w:val="20"/>
          <w:szCs w:val="20"/>
        </w:rPr>
        <w:t xml:space="preserve">epartment of </w:t>
      </w:r>
      <w:r w:rsidR="00D854B3">
        <w:rPr>
          <w:sz w:val="20"/>
          <w:szCs w:val="20"/>
        </w:rPr>
        <w:t>C</w:t>
      </w:r>
      <w:r w:rsidR="00707FD4">
        <w:rPr>
          <w:sz w:val="20"/>
          <w:szCs w:val="20"/>
        </w:rPr>
        <w:t>hemistry</w:t>
      </w:r>
      <w:r w:rsidRPr="00133BD9">
        <w:rPr>
          <w:sz w:val="20"/>
          <w:szCs w:val="20"/>
        </w:rPr>
        <w:t xml:space="preserve">, </w:t>
      </w:r>
      <w:r w:rsidR="00707FD4">
        <w:rPr>
          <w:sz w:val="20"/>
          <w:szCs w:val="20"/>
        </w:rPr>
        <w:t>Brno,</w:t>
      </w:r>
      <w:r w:rsidRPr="00133BD9">
        <w:rPr>
          <w:sz w:val="20"/>
          <w:szCs w:val="20"/>
        </w:rPr>
        <w:t xml:space="preserve"> </w:t>
      </w:r>
      <w:r w:rsidR="00707FD4">
        <w:rPr>
          <w:sz w:val="20"/>
          <w:szCs w:val="20"/>
        </w:rPr>
        <w:t>Czech Republic</w:t>
      </w:r>
    </w:p>
    <w:p w14:paraId="635C3CB2" w14:textId="6924C742" w:rsidR="009D56CE" w:rsidRPr="00133BD9" w:rsidRDefault="00D61251" w:rsidP="00DB3A8E">
      <w:pPr>
        <w:pStyle w:val="4-dept"/>
        <w:spacing w:after="240"/>
        <w:rPr>
          <w:sz w:val="20"/>
          <w:szCs w:val="20"/>
        </w:rPr>
      </w:pPr>
      <w:r>
        <w:rPr>
          <w:sz w:val="20"/>
          <w:szCs w:val="20"/>
        </w:rPr>
        <w:t xml:space="preserve"> </w:t>
      </w:r>
      <w:r>
        <w:rPr>
          <w:sz w:val="20"/>
        </w:rPr>
        <w:t>(cor</w:t>
      </w:r>
      <w:r w:rsidR="007760FE">
        <w:rPr>
          <w:sz w:val="20"/>
        </w:rPr>
        <w:t>responding author: styskalik@chemi.muni.cz</w:t>
      </w:r>
      <w:r>
        <w:rPr>
          <w:sz w:val="20"/>
        </w:rPr>
        <w:t>)</w:t>
      </w:r>
    </w:p>
    <w:p w14:paraId="64916FA6" w14:textId="77777777" w:rsidR="009D56CE" w:rsidRDefault="009D56CE">
      <w:pPr>
        <w:rPr>
          <w:b/>
          <w:lang w:val="en-US"/>
        </w:rPr>
      </w:pPr>
    </w:p>
    <w:p w14:paraId="4FC798F9" w14:textId="6D375F01" w:rsidR="00053085" w:rsidRPr="002F14CC" w:rsidRDefault="00622925" w:rsidP="002F14CC">
      <w:pPr>
        <w:spacing w:after="240"/>
        <w:rPr>
          <w:rFonts w:ascii="Arial" w:hAnsi="Arial" w:cs="Arial"/>
          <w:b/>
          <w:sz w:val="20"/>
          <w:lang w:val="en-US"/>
        </w:rPr>
      </w:pPr>
      <w:r w:rsidRPr="002F14CC">
        <w:rPr>
          <w:rFonts w:ascii="Arial" w:hAnsi="Arial" w:cs="Arial"/>
          <w:b/>
          <w:sz w:val="20"/>
          <w:lang w:val="en-US"/>
        </w:rPr>
        <w:t>ABSTRACT:</w:t>
      </w:r>
      <w:bookmarkStart w:id="0" w:name="_GoBack"/>
      <w:bookmarkEnd w:id="0"/>
    </w:p>
    <w:p w14:paraId="7CCD5015" w14:textId="2BDE4AC2" w:rsidR="007335A5" w:rsidRPr="00707FD4" w:rsidRDefault="007335A5" w:rsidP="007335A5">
      <w:pPr>
        <w:ind w:firstLine="708"/>
        <w:rPr>
          <w:rFonts w:ascii="Arial" w:hAnsi="Arial" w:cs="Arial"/>
          <w:sz w:val="20"/>
        </w:rPr>
      </w:pPr>
      <w:r>
        <w:rPr>
          <w:rFonts w:ascii="Arial" w:hAnsi="Arial" w:cs="Arial"/>
          <w:sz w:val="20"/>
        </w:rPr>
        <w:t xml:space="preserve">Ethanol dehydrogenation to acetaldehyde </w:t>
      </w:r>
      <w:r w:rsidR="003E53AF">
        <w:rPr>
          <w:rFonts w:ascii="Arial" w:hAnsi="Arial" w:cs="Arial"/>
          <w:sz w:val="20"/>
        </w:rPr>
        <w:t>represents</w:t>
      </w:r>
      <w:r>
        <w:rPr>
          <w:rFonts w:ascii="Arial" w:hAnsi="Arial" w:cs="Arial"/>
          <w:sz w:val="20"/>
        </w:rPr>
        <w:t xml:space="preserve"> the first step in ethanol-to-butadiene process</w:t>
      </w:r>
      <w:r w:rsidR="003E53AF">
        <w:rPr>
          <w:rFonts w:ascii="Arial" w:hAnsi="Arial" w:cs="Arial"/>
          <w:sz w:val="20"/>
        </w:rPr>
        <w:t xml:space="preserve"> and is effectively cataly</w:t>
      </w:r>
      <w:r w:rsidR="00EB47F8">
        <w:rPr>
          <w:rFonts w:ascii="Arial" w:hAnsi="Arial" w:cs="Arial"/>
          <w:sz w:val="20"/>
        </w:rPr>
        <w:t>s</w:t>
      </w:r>
      <w:r w:rsidR="003E53AF">
        <w:rPr>
          <w:rFonts w:ascii="Arial" w:hAnsi="Arial" w:cs="Arial"/>
          <w:sz w:val="20"/>
        </w:rPr>
        <w:t>ed by copper</w:t>
      </w:r>
      <w:r>
        <w:rPr>
          <w:rFonts w:ascii="Arial" w:hAnsi="Arial" w:cs="Arial"/>
          <w:sz w:val="20"/>
        </w:rPr>
        <w:t xml:space="preserve">. This reaction is critical for the future due to the </w:t>
      </w:r>
      <w:r w:rsidR="00073E06">
        <w:rPr>
          <w:rFonts w:ascii="Arial" w:hAnsi="Arial" w:cs="Arial"/>
          <w:sz w:val="20"/>
        </w:rPr>
        <w:t xml:space="preserve">ongoing changes in </w:t>
      </w:r>
      <w:r w:rsidR="00D344EF">
        <w:rPr>
          <w:rFonts w:ascii="Arial" w:hAnsi="Arial" w:cs="Arial"/>
          <w:sz w:val="20"/>
        </w:rPr>
        <w:t>the oil</w:t>
      </w:r>
      <w:r w:rsidR="00073E06">
        <w:rPr>
          <w:rFonts w:ascii="Arial" w:hAnsi="Arial" w:cs="Arial"/>
          <w:sz w:val="20"/>
        </w:rPr>
        <w:t xml:space="preserve"> industry: the</w:t>
      </w:r>
      <w:r>
        <w:rPr>
          <w:rFonts w:ascii="Arial" w:hAnsi="Arial" w:cs="Arial"/>
          <w:sz w:val="20"/>
        </w:rPr>
        <w:t xml:space="preserve"> </w:t>
      </w:r>
      <w:r w:rsidR="00EB47F8">
        <w:rPr>
          <w:rFonts w:ascii="Arial" w:hAnsi="Arial" w:cs="Arial"/>
          <w:sz w:val="20"/>
        </w:rPr>
        <w:t xml:space="preserve">possible </w:t>
      </w:r>
      <w:r w:rsidRPr="00707FD4">
        <w:rPr>
          <w:rFonts w:ascii="Arial" w:hAnsi="Arial" w:cs="Arial"/>
          <w:sz w:val="20"/>
        </w:rPr>
        <w:t>sustainable production of butadiene from bioethanol</w:t>
      </w:r>
      <w:r w:rsidR="00073E06">
        <w:rPr>
          <w:rFonts w:ascii="Arial" w:hAnsi="Arial" w:cs="Arial"/>
          <w:sz w:val="20"/>
        </w:rPr>
        <w:t xml:space="preserve"> would be highly desired</w:t>
      </w:r>
      <w:r w:rsidRPr="00707FD4">
        <w:rPr>
          <w:rFonts w:ascii="Arial" w:hAnsi="Arial" w:cs="Arial"/>
          <w:sz w:val="20"/>
        </w:rPr>
        <w:t xml:space="preserve">. </w:t>
      </w:r>
      <w:r>
        <w:rPr>
          <w:rFonts w:ascii="Arial" w:hAnsi="Arial" w:cs="Arial"/>
          <w:sz w:val="20"/>
        </w:rPr>
        <w:t>However, c</w:t>
      </w:r>
      <w:r w:rsidRPr="00707FD4">
        <w:rPr>
          <w:rFonts w:ascii="Arial" w:hAnsi="Arial" w:cs="Arial"/>
          <w:sz w:val="20"/>
        </w:rPr>
        <w:t>atalyst</w:t>
      </w:r>
      <w:r>
        <w:rPr>
          <w:rFonts w:ascii="Arial" w:hAnsi="Arial" w:cs="Arial"/>
          <w:sz w:val="20"/>
        </w:rPr>
        <w:t xml:space="preserve">s used for this modern purpose </w:t>
      </w:r>
      <w:r w:rsidR="00EB47F8">
        <w:rPr>
          <w:rFonts w:ascii="Arial" w:hAnsi="Arial" w:cs="Arial"/>
          <w:sz w:val="20"/>
        </w:rPr>
        <w:t>mainly</w:t>
      </w:r>
      <w:r>
        <w:rPr>
          <w:rFonts w:ascii="Arial" w:hAnsi="Arial" w:cs="Arial"/>
          <w:sz w:val="20"/>
        </w:rPr>
        <w:t xml:space="preserve"> suffer from low stability with time-on-stream</w:t>
      </w:r>
      <w:r w:rsidRPr="00707FD4">
        <w:rPr>
          <w:rFonts w:ascii="Arial" w:hAnsi="Arial" w:cs="Arial"/>
          <w:sz w:val="20"/>
        </w:rPr>
        <w:t xml:space="preserve"> </w:t>
      </w:r>
      <w:r w:rsidR="00F4679E">
        <w:rPr>
          <w:rFonts w:ascii="Arial" w:hAnsi="Arial" w:cs="Arial"/>
          <w:sz w:val="20"/>
        </w:rPr>
        <w:fldChar w:fldCharType="begin" w:fldLock="1"/>
      </w:r>
      <w:r w:rsidR="00BC6F6D">
        <w:rPr>
          <w:rFonts w:ascii="Arial" w:hAnsi="Arial" w:cs="Arial"/>
          <w:sz w:val="20"/>
        </w:rPr>
        <w:instrText>ADDIN CSL_CITATION {"citationItems":[{"id":"ITEM-1","itemData":{"DOI":"10.1039/d0cy00784f","ISSN":"20444761","abstract":"Butadiene is a crucial chemical, notably for the manufacturing of car tires. The ethanol-to-butadiene reaction has emerged as a promising solution to both environmental concerns and the disruption caused by the emergence of shale gas associated with butadiene production. As a result, it has gathered significant scientific interest and private companies are investigating its application. Although there has been much insight into the reaction and its catalysts in recent years, several issues need to be resolved before becoming financially viable. This review aims to provide up-to-date insight into the ethanol-to-butadiene reaction, including topics that are seldom addressed. It can serve as a starting point for any new research projects on the subject of ethanol conversion to butadiene.","author":[{"dropping-particle":"","family":"Pomalaza","given":"Guillaume","non-dropping-particle":"","parse-names":false,"suffix":""},{"dropping-particle":"","family":"Arango Ponton","given":"Paola","non-dropping-particle":"","parse-names":false,"suffix":""},{"dropping-particle":"","family":"Capron","given":"Mickaël","non-dropping-particle":"","parse-names":false,"suffix":""},{"dropping-particle":"","family":"Dumeignil","given":"Franck","non-dropping-particle":"","parse-names":false,"suffix":""}],"container-title":"Catalysis Science and Technology","id":"ITEM-1","issue":"15","issued":{"date-parts":[["2020"]]},"page":"4860-4911","publisher":"Royal Society of Chemistry","title":"Ethanol-to-butadiene: The reaction and its catalysts","type":"article-journal","volume":"10"},"uris":["http://www.mendeley.com/documents/?uuid=e3a9ab5b-3d07-4a75-bd0a-b1439882cead"]}],"mendeley":{"formattedCitation":"[1]","plainTextFormattedCitation":"[1]","previouslyFormattedCitation":"(Pomalaza et al., 2020)"},"properties":{"noteIndex":0},"schema":"https://github.com/citation-style-language/schema/raw/master/csl-citation.json"}</w:instrText>
      </w:r>
      <w:r w:rsidR="00F4679E">
        <w:rPr>
          <w:rFonts w:ascii="Arial" w:hAnsi="Arial" w:cs="Arial"/>
          <w:sz w:val="20"/>
        </w:rPr>
        <w:fldChar w:fldCharType="separate"/>
      </w:r>
      <w:r w:rsidR="00BC6F6D" w:rsidRPr="00BC6F6D">
        <w:rPr>
          <w:rFonts w:ascii="Arial" w:hAnsi="Arial" w:cs="Arial"/>
          <w:noProof/>
          <w:sz w:val="20"/>
        </w:rPr>
        <w:t>[1]</w:t>
      </w:r>
      <w:r w:rsidR="00F4679E">
        <w:rPr>
          <w:rFonts w:ascii="Arial" w:hAnsi="Arial" w:cs="Arial"/>
          <w:sz w:val="20"/>
        </w:rPr>
        <w:fldChar w:fldCharType="end"/>
      </w:r>
      <w:r w:rsidR="00BC6F6D">
        <w:rPr>
          <w:rFonts w:ascii="Arial" w:hAnsi="Arial" w:cs="Arial"/>
          <w:sz w:val="20"/>
        </w:rPr>
        <w:t>.</w:t>
      </w:r>
    </w:p>
    <w:p w14:paraId="7D76E084" w14:textId="6CA8CE19" w:rsidR="00DA28FD" w:rsidRDefault="00053085" w:rsidP="00022304">
      <w:pPr>
        <w:ind w:firstLine="709"/>
        <w:rPr>
          <w:rFonts w:ascii="Arial" w:hAnsi="Arial" w:cs="Arial"/>
          <w:sz w:val="20"/>
        </w:rPr>
      </w:pPr>
      <w:r>
        <w:rPr>
          <w:rFonts w:ascii="Arial" w:hAnsi="Arial" w:cs="Arial"/>
          <w:sz w:val="20"/>
        </w:rPr>
        <w:t>In this study</w:t>
      </w:r>
      <w:r w:rsidR="007779AF">
        <w:rPr>
          <w:rFonts w:ascii="Arial" w:hAnsi="Arial" w:cs="Arial"/>
          <w:sz w:val="20"/>
        </w:rPr>
        <w:t>,</w:t>
      </w:r>
      <w:r w:rsidR="00707FD4">
        <w:rPr>
          <w:rFonts w:ascii="Arial" w:hAnsi="Arial" w:cs="Arial"/>
          <w:sz w:val="20"/>
        </w:rPr>
        <w:t xml:space="preserve"> </w:t>
      </w:r>
      <w:r w:rsidR="003E53AF">
        <w:rPr>
          <w:rFonts w:ascii="Arial" w:hAnsi="Arial" w:cs="Arial"/>
          <w:sz w:val="20"/>
        </w:rPr>
        <w:t>different Cu-SiO</w:t>
      </w:r>
      <w:r w:rsidR="003E53AF" w:rsidRPr="005268BD">
        <w:rPr>
          <w:rFonts w:ascii="Arial" w:hAnsi="Arial" w:cs="Arial"/>
          <w:sz w:val="20"/>
          <w:vertAlign w:val="subscript"/>
        </w:rPr>
        <w:t>2</w:t>
      </w:r>
      <w:r w:rsidR="003E53AF">
        <w:rPr>
          <w:rFonts w:ascii="Arial" w:hAnsi="Arial" w:cs="Arial"/>
          <w:sz w:val="20"/>
        </w:rPr>
        <w:t xml:space="preserve"> catalysts were prepared by several techniques: </w:t>
      </w:r>
      <w:r>
        <w:rPr>
          <w:rFonts w:ascii="Arial" w:hAnsi="Arial" w:cs="Arial"/>
          <w:sz w:val="20"/>
        </w:rPr>
        <w:t>hydro</w:t>
      </w:r>
      <w:r w:rsidR="003E53AF">
        <w:rPr>
          <w:rFonts w:ascii="Arial" w:hAnsi="Arial" w:cs="Arial"/>
          <w:sz w:val="20"/>
        </w:rPr>
        <w:t>lytic</w:t>
      </w:r>
      <w:r>
        <w:rPr>
          <w:rFonts w:ascii="Arial" w:hAnsi="Arial" w:cs="Arial"/>
          <w:sz w:val="20"/>
        </w:rPr>
        <w:t xml:space="preserve"> and non-hyd</w:t>
      </w:r>
      <w:r w:rsidR="00707FD4">
        <w:rPr>
          <w:rFonts w:ascii="Arial" w:hAnsi="Arial" w:cs="Arial"/>
          <w:sz w:val="20"/>
        </w:rPr>
        <w:t>r</w:t>
      </w:r>
      <w:r>
        <w:rPr>
          <w:rFonts w:ascii="Arial" w:hAnsi="Arial" w:cs="Arial"/>
          <w:sz w:val="20"/>
        </w:rPr>
        <w:t>o</w:t>
      </w:r>
      <w:r w:rsidR="003E53AF">
        <w:rPr>
          <w:rFonts w:ascii="Arial" w:hAnsi="Arial" w:cs="Arial"/>
          <w:sz w:val="20"/>
        </w:rPr>
        <w:t>lytic one-pot</w:t>
      </w:r>
      <w:r>
        <w:rPr>
          <w:rFonts w:ascii="Arial" w:hAnsi="Arial" w:cs="Arial"/>
          <w:sz w:val="20"/>
        </w:rPr>
        <w:t xml:space="preserve"> sol-</w:t>
      </w:r>
      <w:r w:rsidR="003E53AF">
        <w:rPr>
          <w:rFonts w:ascii="Arial" w:hAnsi="Arial" w:cs="Arial"/>
          <w:sz w:val="20"/>
        </w:rPr>
        <w:t xml:space="preserve">gel, dry </w:t>
      </w:r>
      <w:r>
        <w:rPr>
          <w:rFonts w:ascii="Arial" w:hAnsi="Arial" w:cs="Arial"/>
          <w:sz w:val="20"/>
        </w:rPr>
        <w:t>impregnation technique</w:t>
      </w:r>
      <w:r w:rsidR="003E53AF">
        <w:rPr>
          <w:rFonts w:ascii="Arial" w:hAnsi="Arial" w:cs="Arial"/>
          <w:sz w:val="20"/>
        </w:rPr>
        <w:t xml:space="preserve">, </w:t>
      </w:r>
      <w:r w:rsidR="00022304">
        <w:rPr>
          <w:rFonts w:ascii="Arial" w:hAnsi="Arial" w:cs="Arial"/>
          <w:sz w:val="20"/>
        </w:rPr>
        <w:t xml:space="preserve">strong </w:t>
      </w:r>
      <w:proofErr w:type="spellStart"/>
      <w:r w:rsidR="00022304">
        <w:rPr>
          <w:rFonts w:ascii="Arial" w:hAnsi="Arial" w:cs="Arial"/>
          <w:sz w:val="20"/>
        </w:rPr>
        <w:t>eletrostatic</w:t>
      </w:r>
      <w:proofErr w:type="spellEnd"/>
      <w:r w:rsidR="003E53AF">
        <w:rPr>
          <w:rFonts w:ascii="Arial" w:hAnsi="Arial" w:cs="Arial"/>
          <w:sz w:val="20"/>
        </w:rPr>
        <w:t xml:space="preserve"> impregnation, and deposition of pre-made</w:t>
      </w:r>
      <w:r w:rsidR="00DA28FD">
        <w:rPr>
          <w:rFonts w:ascii="Arial" w:hAnsi="Arial" w:cs="Arial"/>
          <w:sz w:val="20"/>
        </w:rPr>
        <w:t xml:space="preserve"> (by hot injection)</w:t>
      </w:r>
      <w:r w:rsidR="003E53AF">
        <w:rPr>
          <w:rFonts w:ascii="Arial" w:hAnsi="Arial" w:cs="Arial"/>
          <w:sz w:val="20"/>
        </w:rPr>
        <w:t xml:space="preserve"> Cu NPs on silica</w:t>
      </w:r>
      <w:r w:rsidR="00BC6F6D">
        <w:rPr>
          <w:rFonts w:ascii="Arial" w:hAnsi="Arial" w:cs="Arial"/>
          <w:sz w:val="20"/>
        </w:rPr>
        <w:t xml:space="preserve"> </w:t>
      </w:r>
      <w:r w:rsidR="00FD086D">
        <w:rPr>
          <w:rFonts w:ascii="Arial" w:hAnsi="Arial" w:cs="Arial"/>
          <w:sz w:val="20"/>
        </w:rPr>
        <w:fldChar w:fldCharType="begin" w:fldLock="1"/>
      </w:r>
      <w:r w:rsidR="00BC6F6D">
        <w:rPr>
          <w:rFonts w:ascii="Arial" w:hAnsi="Arial" w:cs="Arial"/>
          <w:sz w:val="20"/>
        </w:rPr>
        <w:instrText>ADDIN CSL_CITATION {"citationItems":[{"id":"ITEM-1","itemData":{"DOI":"10.3390/catal7060168","ISSN":"20734344","abstract":"This review is devoted to non-hydrolytic sol-gel chemistry. During the last 25 years, non-hydrolytic sol-gel (NHSG) techniques were found to be attractive and versatile methods for the preparation of oxide materials. Compared to conventional hydrolytic approaches, the NHSG route allows reaction control at the atomic scale resulting in homogeneous and well defined products. Due to these features and the ability to design specific materials, the products of NHSG reactions have been used in many fields of application. The aim of this review is to present an overview of NHSG research in recent years with an emphasis on the syntheses of mixed oxides, silicates and phosphates. The first part of the review highlights well known condensation reactions with some deeper insights into their mechanism and also presents novel condensation reactions established in NHSG chemistry in recent years. In the second section we discuss porosity control and novel compositions of selected materials. In the last part, the applications of NHSG derived materials as heterogeneous catalysts and supports, luminescent materials and electrode materials in Li-ion batteries are described.","author":[{"dropping-particle":"","family":"Styskalik","given":"Ales","non-dropping-particle":"","parse-names":false,"suffix":""},{"dropping-particle":"","family":"Skoda","given":"David","non-dropping-particle":"","parse-names":false,"suffix":""},{"dropping-particle":"","family":"Barnes","given":"Craig E.","non-dropping-particle":"","parse-names":false,"suffix":""},{"dropping-particle":"","family":"Pinkas","given":"Jiri","non-dropping-particle":"","parse-names":false,"suffix":""}],"container-title":"Catalysts","id":"ITEM-1","issue":"6","issued":{"date-parts":[["2017"]]},"title":"The power of non-hydrolytic sol-gel chemistry: A review","type":"article-journal","volume":"7"},"uris":["http://www.mendeley.com/documents/?uuid=c186b386-5390-455a-9b6c-1c8a2169a86d"]},{"id":"ITEM-2","itemData":{"DOI":"10.1021/acs.inorgchem.9b02172","ISSN":"1520510X","PMID":"31651156","abstract":"As nanoparticle preparation methods employing bottom-up procedures rely on the use of molecular precursors, the chemical composition and bonding of these precursors have a decisive effect on nanoparticle formation and their resulting morphology and properties. We synthesized the Cu(I) complexes [Cu(PPh3)2(bea)] (1, bea = benzoate) and [Cu(PPh3)3(Hphta)] (2, phta = phthalate) by reducing the corresponding Cu(II) mono- and dicarboxylates with triphenylphosphine. We characterized 1 and 2 by single-crystal X-ray diffraction analysis, elemental analyses, infrared and nuclear magnetic resonance spectroscopy, and mass spectrometry and obtained complete information about their structures in the solid state and in solution. Also, we examined their thermal stability in oleylamine and determined their decomposition temperatures to be used as the minimal reaction temperature in metal nanoparticle synthesis. The complexes 1 and 2 differ in the number of reducing PPh3 ligands and the strength of carboxylate bonding to the Cu(I) center. Therefore, we employed them in combination with [Ag(NH2C12H25)2]NO3 as molecular precursors in the solvothermal hot injection synthesis of AgCu nanoalloys in oleylamine and demonstrated their influence on the elemental distribution, phase composition, particle size distribution, shape, morphology, and optical properties of the resulting nanoparticles. The nanoalloy particles from the benzoate complex 1 were oblate and polydisperse and exhibited two surface plasmons at 393 and 569 nm, which is caused by their Janus-type structure. The nanoparticles prepared from the phthalate complex 2 were round and monodisperse and exhibited one plasmon at 413 nm, as they formed an AgCu solid solution with a random distribution of the elements in a particle.","author":[{"dropping-particle":"","family":"Vykoukal","given":"Vit","non-dropping-particle":"","parse-names":false,"suffix":""},{"dropping-particle":"","family":"Halasta","given":"Vitezslav","non-dropping-particle":"","parse-names":false,"suffix":""},{"dropping-particle":"","family":"Babiak","given":"Michal","non-dropping-particle":"","parse-names":false,"suffix":""},{"dropping-particle":"","family":"Bursik","given":"Jiri","non-dropping-particle":"","parse-names":false,"suffix":""},{"dropping-particle":"","family":"Pinkas","given":"Jiri","non-dropping-particle":"","parse-names":false,"suffix":""}],"container-title":"Inorganic Chemistry","id":"ITEM-2","issue":"22","issued":{"date-parts":[["2019"]]},"page":"15246-15254","title":"Morphology Control in AgCu Nanoalloy Synthesis by Molecular Cu(I) Precursors","type":"article-journal","volume":"58"},"uris":["http://www.mendeley.com/documents/?uuid=1985f445-57ae-440b-83bf-b91cc42229eb"]},{"id":"ITEM-3","itemData":{"DOI":"10.1016/j.jcat.2008.09.022","ISSN":"00219517","abstract":"To determine the correlation between strong electrostatic interaction during impregnation and the high dispersion of reduced metals, a series of silica-supported noble and base metal catalysts prepared by strong electrostatic adsorption (SEA) was compared with the traditional incipient wetness impregnation (IWI) method. Metal ammine complexes ([Pd(NH3)4]+2, [Cu(NH3)4]+2, [Co(NH3)6]+3, [Ru(NH3)6]+2, [Ru(NH3)6]+3 and [Ni(NH3)6]+2) were adsorbed onto amorphous silica at various pHs, and the corresponding metal uptakes were determined as a function of pH at fixed metal concentrations. The pH shifts relative to metal free control experiments were carefully monitored. The revised physical adsorption (RPA) model was used to simulate the adsorption process. The adsorption mechanism of metal ammine complexes over silica is reasonably well described as electrostatic interaction (physical adsorption) instead of ion exchange or chemical reaction. After impregnation, the appropriate reduction temperatures of the samples prepared via SEA and IWI methods were determined by temperature-programmed reduction (TPR), the particle size and distribution were measured from scanning transmission electron microscopy (STEM) images, and the metal distribution was analyzed by energy-dispersive X-ray spectroscopy (EDXS). X-ray photoelectron spectroscopy (XPS) also was used as a complementary technique to give information on the dispersion change before and after reduction. The results showed that the SEA method can be applied for many ammine complexes to synthesize well-dispersed metals over amorphous silica. © 2008 Elsevier Inc. All rights reserved.","author":[{"dropping-particle":"","family":"Jiao","given":"Ling","non-dropping-particle":"","parse-names":false,"suffix":""},{"dropping-particle":"","family":"Regalbuto","given":"John R.","non-dropping-particle":"","parse-names":false,"suffix":""}],"container-title":"Journal of Catalysis","id":"ITEM-3","issue":"2","issued":{"date-parts":[["2008"]]},"page":"329-341","publisher":"Elsevier Inc.","title":"The synthesis of highly dispersed noble and base metals on silica via strong electrostatic adsorption: I. Amorphous silica","type":"article-journal","volume":"260"},"uris":["http://www.mendeley.com/documents/?uuid=a4714105-771f-4919-981d-f8e31165796a"]}],"mendeley":{"formattedCitation":"[2–4]","plainTextFormattedCitation":"[2–4]","previouslyFormattedCitation":"(Jiao and Regalbuto, 2008; Styskalik et al., 2017; Vykoukal et al., 2019)"},"properties":{"noteIndex":0},"schema":"https://github.com/citation-style-language/schema/raw/master/csl-citation.json"}</w:instrText>
      </w:r>
      <w:r w:rsidR="00FD086D">
        <w:rPr>
          <w:rFonts w:ascii="Arial" w:hAnsi="Arial" w:cs="Arial"/>
          <w:sz w:val="20"/>
        </w:rPr>
        <w:fldChar w:fldCharType="separate"/>
      </w:r>
      <w:r w:rsidR="00BC6F6D" w:rsidRPr="00BC6F6D">
        <w:rPr>
          <w:rFonts w:ascii="Arial" w:hAnsi="Arial" w:cs="Arial"/>
          <w:noProof/>
          <w:sz w:val="20"/>
        </w:rPr>
        <w:t>[2–4]</w:t>
      </w:r>
      <w:r w:rsidR="00FD086D">
        <w:rPr>
          <w:rFonts w:ascii="Arial" w:hAnsi="Arial" w:cs="Arial"/>
          <w:sz w:val="20"/>
        </w:rPr>
        <w:fldChar w:fldCharType="end"/>
      </w:r>
      <w:r>
        <w:rPr>
          <w:rFonts w:ascii="Arial" w:hAnsi="Arial" w:cs="Arial"/>
          <w:sz w:val="20"/>
        </w:rPr>
        <w:t>.</w:t>
      </w:r>
      <w:r w:rsidR="008C4F53">
        <w:rPr>
          <w:rFonts w:ascii="Arial" w:hAnsi="Arial" w:cs="Arial"/>
          <w:sz w:val="20"/>
        </w:rPr>
        <w:t xml:space="preserve"> </w:t>
      </w:r>
      <w:r w:rsidR="003E53AF">
        <w:rPr>
          <w:rFonts w:ascii="Arial" w:hAnsi="Arial" w:cs="Arial"/>
          <w:sz w:val="20"/>
        </w:rPr>
        <w:t>Both sol-gel prepared catalyst</w:t>
      </w:r>
      <w:r w:rsidR="00F5480F">
        <w:rPr>
          <w:rFonts w:ascii="Arial" w:hAnsi="Arial" w:cs="Arial"/>
          <w:sz w:val="20"/>
        </w:rPr>
        <w:t>s</w:t>
      </w:r>
      <w:r w:rsidR="003E53AF">
        <w:rPr>
          <w:rFonts w:ascii="Arial" w:hAnsi="Arial" w:cs="Arial"/>
          <w:sz w:val="20"/>
        </w:rPr>
        <w:t xml:space="preserve"> </w:t>
      </w:r>
      <w:r w:rsidR="00DA28FD">
        <w:rPr>
          <w:rFonts w:ascii="Arial" w:hAnsi="Arial" w:cs="Arial"/>
          <w:sz w:val="20"/>
        </w:rPr>
        <w:t>were highly porous (</w:t>
      </w:r>
      <w:r w:rsidR="00663FB2">
        <w:rPr>
          <w:rFonts w:ascii="Arial" w:hAnsi="Arial" w:cs="Arial"/>
          <w:sz w:val="20"/>
        </w:rPr>
        <w:t xml:space="preserve">up to </w:t>
      </w:r>
      <w:r w:rsidR="00D61251">
        <w:rPr>
          <w:rFonts w:ascii="Arial" w:hAnsi="Arial" w:cs="Arial"/>
          <w:sz w:val="20"/>
        </w:rPr>
        <w:t>560 m</w:t>
      </w:r>
      <w:r w:rsidR="00D61251">
        <w:rPr>
          <w:rFonts w:ascii="Arial" w:hAnsi="Arial" w:cs="Arial"/>
          <w:sz w:val="20"/>
          <w:vertAlign w:val="superscript"/>
        </w:rPr>
        <w:t>2</w:t>
      </w:r>
      <w:r w:rsidR="00022304">
        <w:rPr>
          <w:rFonts w:ascii="Arial" w:hAnsi="Arial" w:cs="Arial"/>
          <w:sz w:val="20"/>
        </w:rPr>
        <w:t> </w:t>
      </w:r>
      <w:r w:rsidR="00D61251">
        <w:rPr>
          <w:rFonts w:ascii="Arial" w:hAnsi="Arial" w:cs="Arial"/>
          <w:sz w:val="20"/>
        </w:rPr>
        <w:t>g</w:t>
      </w:r>
      <w:r w:rsidR="00022304" w:rsidRPr="00022304">
        <w:rPr>
          <w:rFonts w:ascii="Calibri" w:hAnsi="Calibri" w:cs="Calibri"/>
          <w:sz w:val="20"/>
          <w:vertAlign w:val="superscript"/>
        </w:rPr>
        <w:t>−</w:t>
      </w:r>
      <w:r w:rsidR="00022304" w:rsidRPr="00022304">
        <w:rPr>
          <w:rFonts w:ascii="Arial" w:hAnsi="Arial" w:cs="Arial"/>
          <w:sz w:val="20"/>
          <w:vertAlign w:val="superscript"/>
        </w:rPr>
        <w:t>1</w:t>
      </w:r>
      <w:r w:rsidR="00DA28FD">
        <w:rPr>
          <w:rFonts w:ascii="Arial" w:hAnsi="Arial" w:cs="Arial"/>
          <w:sz w:val="20"/>
        </w:rPr>
        <w:t xml:space="preserve">) and </w:t>
      </w:r>
      <w:r w:rsidR="003E53AF">
        <w:rPr>
          <w:rFonts w:ascii="Arial" w:hAnsi="Arial" w:cs="Arial"/>
          <w:sz w:val="20"/>
        </w:rPr>
        <w:t xml:space="preserve">exhibited </w:t>
      </w:r>
      <w:r w:rsidR="00DA28FD">
        <w:rPr>
          <w:rFonts w:ascii="Arial" w:hAnsi="Arial" w:cs="Arial"/>
          <w:sz w:val="20"/>
        </w:rPr>
        <w:t>highly homogeneous (“atomic”) copper dispersion</w:t>
      </w:r>
      <w:r w:rsidR="00EB47F8">
        <w:rPr>
          <w:rFonts w:ascii="Arial" w:hAnsi="Arial" w:cs="Arial"/>
          <w:sz w:val="20"/>
        </w:rPr>
        <w:t xml:space="preserve"> (STEM-EDS)</w:t>
      </w:r>
      <w:r w:rsidR="00FF07B6">
        <w:rPr>
          <w:rFonts w:ascii="Arial" w:hAnsi="Arial" w:cs="Arial"/>
          <w:sz w:val="20"/>
        </w:rPr>
        <w:t>. O</w:t>
      </w:r>
      <w:r w:rsidR="00DA28FD">
        <w:rPr>
          <w:rFonts w:ascii="Arial" w:hAnsi="Arial" w:cs="Arial"/>
          <w:sz w:val="20"/>
        </w:rPr>
        <w:t xml:space="preserve">ther </w:t>
      </w:r>
      <w:r w:rsidR="00D854B3">
        <w:rPr>
          <w:rFonts w:ascii="Arial" w:hAnsi="Arial" w:cs="Arial"/>
          <w:sz w:val="20"/>
        </w:rPr>
        <w:t xml:space="preserve">synthetic </w:t>
      </w:r>
      <w:r w:rsidR="00DA28FD">
        <w:rPr>
          <w:rFonts w:ascii="Arial" w:hAnsi="Arial" w:cs="Arial"/>
          <w:sz w:val="20"/>
        </w:rPr>
        <w:t>techniques (i.e., impregnation) led to surface area decrease and provided larger nanoparticles</w:t>
      </w:r>
      <w:r w:rsidR="00DA70B1">
        <w:rPr>
          <w:rFonts w:ascii="Arial" w:hAnsi="Arial" w:cs="Arial"/>
          <w:sz w:val="20"/>
        </w:rPr>
        <w:t xml:space="preserve"> (</w:t>
      </w:r>
      <w:r w:rsidR="00D854B3">
        <w:rPr>
          <w:rFonts w:ascii="Arial" w:hAnsi="Arial" w:cs="Arial"/>
          <w:sz w:val="20"/>
        </w:rPr>
        <w:t>e.g., 1-3</w:t>
      </w:r>
      <w:r w:rsidR="00DA70B1">
        <w:rPr>
          <w:rFonts w:ascii="Arial" w:hAnsi="Arial" w:cs="Arial"/>
          <w:sz w:val="20"/>
        </w:rPr>
        <w:t xml:space="preserve"> nm for </w:t>
      </w:r>
      <w:r w:rsidR="00FD086D">
        <w:rPr>
          <w:rFonts w:ascii="Arial" w:hAnsi="Arial" w:cs="Arial"/>
          <w:sz w:val="20"/>
        </w:rPr>
        <w:t xml:space="preserve">strong </w:t>
      </w:r>
      <w:r w:rsidR="00022304">
        <w:rPr>
          <w:rFonts w:ascii="Arial" w:hAnsi="Arial" w:cs="Arial"/>
          <w:sz w:val="20"/>
        </w:rPr>
        <w:t>electrostatic</w:t>
      </w:r>
      <w:r w:rsidR="00DA70B1">
        <w:rPr>
          <w:rFonts w:ascii="Arial" w:hAnsi="Arial" w:cs="Arial"/>
          <w:sz w:val="20"/>
        </w:rPr>
        <w:t xml:space="preserve"> impregnation; </w:t>
      </w:r>
      <w:r w:rsidR="00D854B3">
        <w:rPr>
          <w:rFonts w:ascii="Arial" w:hAnsi="Arial" w:cs="Arial"/>
          <w:sz w:val="20"/>
        </w:rPr>
        <w:t>10-20</w:t>
      </w:r>
      <w:r w:rsidR="00DA70B1">
        <w:rPr>
          <w:rFonts w:ascii="Arial" w:hAnsi="Arial" w:cs="Arial"/>
          <w:sz w:val="20"/>
        </w:rPr>
        <w:t xml:space="preserve"> nm for pre-made Cu NPs)</w:t>
      </w:r>
      <w:r w:rsidR="00DA28FD">
        <w:rPr>
          <w:rFonts w:ascii="Arial" w:hAnsi="Arial" w:cs="Arial"/>
          <w:sz w:val="20"/>
        </w:rPr>
        <w:t xml:space="preserve"> on the catalysts’ surface.</w:t>
      </w:r>
      <w:r w:rsidR="00EB47F8">
        <w:rPr>
          <w:rFonts w:ascii="Arial" w:hAnsi="Arial" w:cs="Arial"/>
          <w:sz w:val="20"/>
        </w:rPr>
        <w:t xml:space="preserve"> Samples were thoroughly characterized both before and after catalytic tests (TGA, XPS, P-XRD, ICP-OES).</w:t>
      </w:r>
    </w:p>
    <w:p w14:paraId="53BDF06F" w14:textId="4E7C2155" w:rsidR="00EB47F8" w:rsidRDefault="00256F8A" w:rsidP="00DA70B1">
      <w:pPr>
        <w:ind w:firstLine="708"/>
        <w:rPr>
          <w:rFonts w:ascii="Arial" w:hAnsi="Arial" w:cs="Arial"/>
          <w:sz w:val="20"/>
        </w:rPr>
      </w:pPr>
      <w:r>
        <w:rPr>
          <w:rFonts w:ascii="Arial" w:hAnsi="Arial" w:cs="Arial"/>
          <w:noProof/>
          <w:sz w:val="20"/>
          <w:lang w:val="cs-CZ" w:eastAsia="cs-CZ"/>
        </w:rPr>
        <w:drawing>
          <wp:anchor distT="0" distB="0" distL="114300" distR="114300" simplePos="0" relativeHeight="251657216" behindDoc="0" locked="0" layoutInCell="1" allowOverlap="1" wp14:anchorId="1BEF21CC" wp14:editId="130ED9EC">
            <wp:simplePos x="0" y="0"/>
            <wp:positionH relativeFrom="margin">
              <wp:align>center</wp:align>
            </wp:positionH>
            <wp:positionV relativeFrom="paragraph">
              <wp:posOffset>825500</wp:posOffset>
            </wp:positionV>
            <wp:extent cx="5408295" cy="2543175"/>
            <wp:effectExtent l="0" t="0" r="1905" b="952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829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02D">
        <w:rPr>
          <w:rFonts w:ascii="Arial" w:hAnsi="Arial" w:cs="Arial"/>
          <w:sz w:val="20"/>
        </w:rPr>
        <w:t>Catalyst</w:t>
      </w:r>
      <w:r w:rsidR="00352CDC">
        <w:rPr>
          <w:rFonts w:ascii="Arial" w:hAnsi="Arial" w:cs="Arial"/>
          <w:sz w:val="20"/>
        </w:rPr>
        <w:t>s were</w:t>
      </w:r>
      <w:r w:rsidR="007A702D">
        <w:rPr>
          <w:rFonts w:ascii="Arial" w:hAnsi="Arial" w:cs="Arial"/>
          <w:sz w:val="20"/>
        </w:rPr>
        <w:t xml:space="preserve"> tested in </w:t>
      </w:r>
      <w:r w:rsidR="00707FD4">
        <w:rPr>
          <w:rFonts w:ascii="Arial" w:hAnsi="Arial" w:cs="Arial"/>
          <w:sz w:val="20"/>
        </w:rPr>
        <w:t xml:space="preserve">a </w:t>
      </w:r>
      <w:r w:rsidR="00DA70B1">
        <w:rPr>
          <w:rFonts w:ascii="Arial" w:hAnsi="Arial" w:cs="Arial"/>
          <w:sz w:val="20"/>
        </w:rPr>
        <w:t>gas-phase fixed-bed</w:t>
      </w:r>
      <w:r w:rsidR="007A702D">
        <w:rPr>
          <w:rFonts w:ascii="Arial" w:hAnsi="Arial" w:cs="Arial"/>
          <w:sz w:val="20"/>
        </w:rPr>
        <w:t xml:space="preserve"> cataly</w:t>
      </w:r>
      <w:r w:rsidR="00DA70B1">
        <w:rPr>
          <w:rFonts w:ascii="Arial" w:hAnsi="Arial" w:cs="Arial"/>
          <w:sz w:val="20"/>
        </w:rPr>
        <w:t>tic</w:t>
      </w:r>
      <w:r w:rsidR="007A702D">
        <w:rPr>
          <w:rFonts w:ascii="Arial" w:hAnsi="Arial" w:cs="Arial"/>
          <w:sz w:val="20"/>
        </w:rPr>
        <w:t xml:space="preserve"> reactor </w:t>
      </w:r>
      <w:r w:rsidR="00DA70B1">
        <w:rPr>
          <w:rFonts w:ascii="Arial" w:hAnsi="Arial" w:cs="Arial"/>
          <w:sz w:val="20"/>
        </w:rPr>
        <w:t>in</w:t>
      </w:r>
      <w:r w:rsidR="007A702D">
        <w:rPr>
          <w:rFonts w:ascii="Arial" w:hAnsi="Arial" w:cs="Arial"/>
          <w:sz w:val="20"/>
        </w:rPr>
        <w:t xml:space="preserve"> ethanol</w:t>
      </w:r>
      <w:r w:rsidR="00DA70B1">
        <w:rPr>
          <w:rFonts w:ascii="Arial" w:hAnsi="Arial" w:cs="Arial"/>
          <w:sz w:val="20"/>
        </w:rPr>
        <w:t xml:space="preserve"> dehydrogenation</w:t>
      </w:r>
      <w:r w:rsidR="007A702D">
        <w:rPr>
          <w:rFonts w:ascii="Arial" w:hAnsi="Arial" w:cs="Arial"/>
          <w:sz w:val="20"/>
        </w:rPr>
        <w:t>.</w:t>
      </w:r>
      <w:r w:rsidR="00DA70B1">
        <w:rPr>
          <w:rFonts w:ascii="Arial" w:hAnsi="Arial" w:cs="Arial"/>
          <w:sz w:val="20"/>
        </w:rPr>
        <w:t xml:space="preserve"> Samples with atomically dispersed Cu prepared by one-pot sol-gel method </w:t>
      </w:r>
      <w:r w:rsidR="00D854B3">
        <w:rPr>
          <w:rFonts w:ascii="Arial" w:hAnsi="Arial" w:cs="Arial"/>
          <w:sz w:val="20"/>
        </w:rPr>
        <w:t>were highly active</w:t>
      </w:r>
      <w:r w:rsidR="007A702D">
        <w:rPr>
          <w:rFonts w:ascii="Arial" w:hAnsi="Arial" w:cs="Arial"/>
          <w:sz w:val="20"/>
        </w:rPr>
        <w:t>.</w:t>
      </w:r>
      <w:r w:rsidR="00DA70B1">
        <w:rPr>
          <w:rFonts w:ascii="Arial" w:hAnsi="Arial" w:cs="Arial"/>
          <w:sz w:val="20"/>
        </w:rPr>
        <w:t xml:space="preserve"> The stability with time-on-stream was a major issue for all catalysts; severe deactivation was observed. </w:t>
      </w:r>
      <w:r w:rsidR="00EB47F8">
        <w:rPr>
          <w:rFonts w:ascii="Arial" w:hAnsi="Arial" w:cs="Arial"/>
          <w:sz w:val="20"/>
        </w:rPr>
        <w:t>Catalysts suffered from b</w:t>
      </w:r>
      <w:r w:rsidR="00DA70B1">
        <w:rPr>
          <w:rFonts w:ascii="Arial" w:hAnsi="Arial" w:cs="Arial"/>
          <w:sz w:val="20"/>
        </w:rPr>
        <w:t>oth particle sintering and coking</w:t>
      </w:r>
      <w:r w:rsidR="00EB47F8">
        <w:rPr>
          <w:rFonts w:ascii="Arial" w:hAnsi="Arial" w:cs="Arial"/>
          <w:sz w:val="20"/>
        </w:rPr>
        <w:t>.</w:t>
      </w:r>
      <w:r w:rsidR="00DA70B1">
        <w:rPr>
          <w:rFonts w:ascii="Arial" w:hAnsi="Arial" w:cs="Arial"/>
          <w:sz w:val="20"/>
        </w:rPr>
        <w:t xml:space="preserve"> </w:t>
      </w:r>
      <w:r w:rsidR="00EB47F8">
        <w:rPr>
          <w:rFonts w:ascii="Arial" w:hAnsi="Arial" w:cs="Arial"/>
          <w:sz w:val="20"/>
        </w:rPr>
        <w:t>The Cu NPs alloying with Ni</w:t>
      </w:r>
      <w:r w:rsidR="00F37B4D">
        <w:rPr>
          <w:rFonts w:ascii="Arial" w:hAnsi="Arial" w:cs="Arial"/>
          <w:sz w:val="20"/>
        </w:rPr>
        <w:t xml:space="preserve"> and Co</w:t>
      </w:r>
      <w:r w:rsidR="00EB47F8">
        <w:rPr>
          <w:rFonts w:ascii="Arial" w:hAnsi="Arial" w:cs="Arial"/>
          <w:sz w:val="20"/>
        </w:rPr>
        <w:t xml:space="preserve"> was suggested as a possible solution to the deactivation phenomena.</w:t>
      </w:r>
    </w:p>
    <w:p w14:paraId="0DFD898E" w14:textId="1F03BD04" w:rsidR="00256F8A" w:rsidRDefault="00256F8A" w:rsidP="002F14CC">
      <w:pPr>
        <w:jc w:val="center"/>
        <w:rPr>
          <w:rFonts w:ascii="Arial" w:hAnsi="Arial" w:cs="Arial"/>
          <w:b/>
          <w:sz w:val="20"/>
          <w:lang w:val="en-US"/>
        </w:rPr>
      </w:pPr>
    </w:p>
    <w:p w14:paraId="30D7015F" w14:textId="5127AB5A" w:rsidR="002F14CC" w:rsidRDefault="002F14CC" w:rsidP="002F14CC">
      <w:pPr>
        <w:jc w:val="center"/>
        <w:rPr>
          <w:rFonts w:ascii="Arial" w:hAnsi="Arial" w:cs="Arial"/>
          <w:b/>
          <w:sz w:val="20"/>
          <w:lang w:val="en-US"/>
        </w:rPr>
      </w:pPr>
      <w:r w:rsidRPr="002F14CC">
        <w:rPr>
          <w:rFonts w:ascii="Arial" w:hAnsi="Arial" w:cs="Arial"/>
          <w:b/>
          <w:sz w:val="20"/>
          <w:lang w:val="en-US"/>
        </w:rPr>
        <w:t>Figure 1:</w:t>
      </w:r>
      <w:r w:rsidR="006A566D">
        <w:rPr>
          <w:rFonts w:ascii="Arial" w:hAnsi="Arial" w:cs="Arial"/>
          <w:b/>
          <w:sz w:val="20"/>
          <w:lang w:val="en-US"/>
        </w:rPr>
        <w:t xml:space="preserve"> S</w:t>
      </w:r>
      <w:r w:rsidR="00D344EF">
        <w:rPr>
          <w:rFonts w:ascii="Arial" w:hAnsi="Arial" w:cs="Arial"/>
          <w:b/>
          <w:sz w:val="20"/>
          <w:lang w:val="en-US"/>
        </w:rPr>
        <w:t>i</w:t>
      </w:r>
      <w:r w:rsidR="006A566D">
        <w:rPr>
          <w:rFonts w:ascii="Arial" w:hAnsi="Arial" w:cs="Arial"/>
          <w:b/>
          <w:sz w:val="20"/>
          <w:lang w:val="en-US"/>
        </w:rPr>
        <w:t xml:space="preserve">ntering </w:t>
      </w:r>
      <w:r w:rsidR="00D344EF">
        <w:rPr>
          <w:rFonts w:ascii="Arial" w:hAnsi="Arial" w:cs="Arial"/>
          <w:b/>
          <w:sz w:val="20"/>
          <w:lang w:val="en-US"/>
        </w:rPr>
        <w:t xml:space="preserve">of Cu </w:t>
      </w:r>
      <w:r w:rsidR="006A566D">
        <w:rPr>
          <w:rFonts w:ascii="Arial" w:hAnsi="Arial" w:cs="Arial"/>
          <w:b/>
          <w:sz w:val="20"/>
          <w:lang w:val="en-US"/>
        </w:rPr>
        <w:t>nanoparticles</w:t>
      </w:r>
      <w:r w:rsidR="00D344EF">
        <w:rPr>
          <w:rFonts w:ascii="Arial" w:hAnsi="Arial" w:cs="Arial"/>
          <w:b/>
          <w:sz w:val="20"/>
          <w:lang w:val="en-US"/>
        </w:rPr>
        <w:t xml:space="preserve"> (red color)</w:t>
      </w:r>
      <w:r w:rsidR="006A566D">
        <w:rPr>
          <w:rFonts w:ascii="Arial" w:hAnsi="Arial" w:cs="Arial"/>
          <w:b/>
          <w:sz w:val="20"/>
          <w:lang w:val="en-US"/>
        </w:rPr>
        <w:t xml:space="preserve"> </w:t>
      </w:r>
      <w:r w:rsidR="00264375">
        <w:rPr>
          <w:rFonts w:ascii="Arial" w:hAnsi="Arial" w:cs="Arial"/>
          <w:b/>
          <w:sz w:val="20"/>
          <w:lang w:val="en-US"/>
        </w:rPr>
        <w:t xml:space="preserve">prepared by strong electrostatic impregnation </w:t>
      </w:r>
      <w:r w:rsidR="004A2691">
        <w:rPr>
          <w:rFonts w:ascii="Arial" w:hAnsi="Arial" w:cs="Arial"/>
          <w:b/>
          <w:sz w:val="20"/>
          <w:lang w:val="en-US"/>
        </w:rPr>
        <w:t>during</w:t>
      </w:r>
      <w:r w:rsidR="006A566D">
        <w:rPr>
          <w:rFonts w:ascii="Arial" w:hAnsi="Arial" w:cs="Arial"/>
          <w:b/>
          <w:sz w:val="20"/>
          <w:lang w:val="en-US"/>
        </w:rPr>
        <w:t xml:space="preserve"> catalysis</w:t>
      </w:r>
      <w:r w:rsidR="00D344EF">
        <w:rPr>
          <w:rFonts w:ascii="Arial" w:hAnsi="Arial" w:cs="Arial"/>
          <w:b/>
          <w:sz w:val="20"/>
          <w:lang w:val="en-US"/>
        </w:rPr>
        <w:t xml:space="preserve"> (</w:t>
      </w:r>
      <w:r w:rsidR="006A566D">
        <w:rPr>
          <w:rFonts w:ascii="Arial" w:hAnsi="Arial" w:cs="Arial"/>
          <w:b/>
          <w:sz w:val="20"/>
          <w:lang w:val="en-US"/>
        </w:rPr>
        <w:t>STEM-EDS</w:t>
      </w:r>
      <w:r w:rsidR="00D344EF">
        <w:rPr>
          <w:rFonts w:ascii="Arial" w:hAnsi="Arial" w:cs="Arial"/>
          <w:b/>
          <w:sz w:val="20"/>
          <w:lang w:val="en-US"/>
        </w:rPr>
        <w:t>).</w:t>
      </w:r>
      <w:r w:rsidRPr="002F14CC">
        <w:rPr>
          <w:rFonts w:ascii="Arial" w:hAnsi="Arial" w:cs="Arial"/>
          <w:b/>
          <w:sz w:val="20"/>
          <w:lang w:val="en-US"/>
        </w:rPr>
        <w:t xml:space="preserve"> </w:t>
      </w:r>
    </w:p>
    <w:p w14:paraId="658B4C11" w14:textId="14B07B9F" w:rsidR="00C172D8" w:rsidRPr="00BC6F6D" w:rsidRDefault="00C172D8" w:rsidP="00C172D8">
      <w:pPr>
        <w:jc w:val="left"/>
        <w:rPr>
          <w:rFonts w:ascii="Arial" w:hAnsi="Arial" w:cs="Arial"/>
          <w:b/>
          <w:sz w:val="20"/>
          <w:lang w:val="en-US"/>
        </w:rPr>
      </w:pPr>
      <w:r>
        <w:rPr>
          <w:rFonts w:ascii="Arial" w:hAnsi="Arial" w:cs="Arial"/>
          <w:b/>
          <w:sz w:val="20"/>
          <w:lang w:val="en-US"/>
        </w:rPr>
        <w:t>References</w:t>
      </w:r>
    </w:p>
    <w:p w14:paraId="4B1573DD" w14:textId="6C413728" w:rsidR="00BC6F6D" w:rsidRPr="00BC6F6D" w:rsidRDefault="00FD086D" w:rsidP="00BC6F6D">
      <w:pPr>
        <w:widowControl w:val="0"/>
        <w:autoSpaceDE w:val="0"/>
        <w:autoSpaceDN w:val="0"/>
        <w:adjustRightInd w:val="0"/>
        <w:ind w:left="640" w:hanging="640"/>
        <w:rPr>
          <w:rFonts w:ascii="Arial" w:hAnsi="Arial" w:cs="Arial"/>
          <w:noProof/>
          <w:sz w:val="16"/>
          <w:szCs w:val="24"/>
        </w:rPr>
      </w:pPr>
      <w:r>
        <w:rPr>
          <w:rFonts w:ascii="Arial" w:hAnsi="Arial" w:cs="Arial"/>
          <w:sz w:val="16"/>
          <w:szCs w:val="16"/>
          <w:lang w:val="en-US"/>
        </w:rPr>
        <w:fldChar w:fldCharType="begin" w:fldLock="1"/>
      </w:r>
      <w:r>
        <w:rPr>
          <w:rFonts w:ascii="Arial" w:hAnsi="Arial" w:cs="Arial"/>
          <w:sz w:val="16"/>
          <w:szCs w:val="16"/>
          <w:lang w:val="en-US"/>
        </w:rPr>
        <w:instrText xml:space="preserve">ADDIN Mendeley Bibliography CSL_BIBLIOGRAPHY </w:instrText>
      </w:r>
      <w:r>
        <w:rPr>
          <w:rFonts w:ascii="Arial" w:hAnsi="Arial" w:cs="Arial"/>
          <w:sz w:val="16"/>
          <w:szCs w:val="16"/>
          <w:lang w:val="en-US"/>
        </w:rPr>
        <w:fldChar w:fldCharType="separate"/>
      </w:r>
      <w:r w:rsidR="00BC6F6D" w:rsidRPr="00BC6F6D">
        <w:rPr>
          <w:rFonts w:ascii="Arial" w:hAnsi="Arial" w:cs="Arial"/>
          <w:noProof/>
          <w:sz w:val="16"/>
          <w:szCs w:val="24"/>
        </w:rPr>
        <w:t>[1]</w:t>
      </w:r>
      <w:r w:rsidR="00BC6F6D" w:rsidRPr="00BC6F6D">
        <w:rPr>
          <w:rFonts w:ascii="Arial" w:hAnsi="Arial" w:cs="Arial"/>
          <w:noProof/>
          <w:sz w:val="16"/>
          <w:szCs w:val="24"/>
        </w:rPr>
        <w:tab/>
        <w:t>G. Pomalaza, P. Arango Ponton, M. Capron, F. Dumeignil, Catal. Sci. Technol. 10 (2020) 4860–4911.</w:t>
      </w:r>
    </w:p>
    <w:p w14:paraId="110AB0F7" w14:textId="77777777" w:rsidR="00BC6F6D" w:rsidRPr="00BC6F6D" w:rsidRDefault="00BC6F6D" w:rsidP="00BC6F6D">
      <w:pPr>
        <w:widowControl w:val="0"/>
        <w:autoSpaceDE w:val="0"/>
        <w:autoSpaceDN w:val="0"/>
        <w:adjustRightInd w:val="0"/>
        <w:ind w:left="640" w:hanging="640"/>
        <w:rPr>
          <w:rFonts w:ascii="Arial" w:hAnsi="Arial" w:cs="Arial"/>
          <w:noProof/>
          <w:sz w:val="16"/>
          <w:szCs w:val="24"/>
        </w:rPr>
      </w:pPr>
      <w:r w:rsidRPr="00BC6F6D">
        <w:rPr>
          <w:rFonts w:ascii="Arial" w:hAnsi="Arial" w:cs="Arial"/>
          <w:noProof/>
          <w:sz w:val="16"/>
          <w:szCs w:val="24"/>
        </w:rPr>
        <w:t>[2]</w:t>
      </w:r>
      <w:r w:rsidRPr="00BC6F6D">
        <w:rPr>
          <w:rFonts w:ascii="Arial" w:hAnsi="Arial" w:cs="Arial"/>
          <w:noProof/>
          <w:sz w:val="16"/>
          <w:szCs w:val="24"/>
        </w:rPr>
        <w:tab/>
        <w:t>A. Styskalik, D. Skoda, C.E. Barnes, J. Pinkas, Catalysts 7 (2017).</w:t>
      </w:r>
    </w:p>
    <w:p w14:paraId="6233B8BD" w14:textId="77777777" w:rsidR="00BC6F6D" w:rsidRPr="00BC6F6D" w:rsidRDefault="00BC6F6D" w:rsidP="00BC6F6D">
      <w:pPr>
        <w:widowControl w:val="0"/>
        <w:autoSpaceDE w:val="0"/>
        <w:autoSpaceDN w:val="0"/>
        <w:adjustRightInd w:val="0"/>
        <w:ind w:left="640" w:hanging="640"/>
        <w:rPr>
          <w:rFonts w:ascii="Arial" w:hAnsi="Arial" w:cs="Arial"/>
          <w:noProof/>
          <w:sz w:val="16"/>
          <w:szCs w:val="24"/>
        </w:rPr>
      </w:pPr>
      <w:r w:rsidRPr="00BC6F6D">
        <w:rPr>
          <w:rFonts w:ascii="Arial" w:hAnsi="Arial" w:cs="Arial"/>
          <w:noProof/>
          <w:sz w:val="16"/>
          <w:szCs w:val="24"/>
        </w:rPr>
        <w:t>[3]</w:t>
      </w:r>
      <w:r w:rsidRPr="00BC6F6D">
        <w:rPr>
          <w:rFonts w:ascii="Arial" w:hAnsi="Arial" w:cs="Arial"/>
          <w:noProof/>
          <w:sz w:val="16"/>
          <w:szCs w:val="24"/>
        </w:rPr>
        <w:tab/>
        <w:t>V. Vykoukal, V. Halasta, M. Babiak, J. Bursik, J. Pinkas, Inorg. Chem. 58 (2019) 15246–15254.</w:t>
      </w:r>
    </w:p>
    <w:p w14:paraId="39FFC456" w14:textId="5D2239A3" w:rsidR="00256F8A" w:rsidRDefault="00BC6F6D" w:rsidP="00256F8A">
      <w:pPr>
        <w:widowControl w:val="0"/>
        <w:autoSpaceDE w:val="0"/>
        <w:autoSpaceDN w:val="0"/>
        <w:adjustRightInd w:val="0"/>
        <w:ind w:left="640" w:hanging="640"/>
        <w:rPr>
          <w:rFonts w:ascii="Arial" w:hAnsi="Arial" w:cs="Arial"/>
          <w:sz w:val="16"/>
          <w:szCs w:val="16"/>
          <w:lang w:val="en-US"/>
        </w:rPr>
      </w:pPr>
      <w:r w:rsidRPr="00BC6F6D">
        <w:rPr>
          <w:rFonts w:ascii="Arial" w:hAnsi="Arial" w:cs="Arial"/>
          <w:noProof/>
          <w:sz w:val="16"/>
          <w:szCs w:val="24"/>
        </w:rPr>
        <w:t>[4]</w:t>
      </w:r>
      <w:r w:rsidRPr="00BC6F6D">
        <w:rPr>
          <w:rFonts w:ascii="Arial" w:hAnsi="Arial" w:cs="Arial"/>
          <w:noProof/>
          <w:sz w:val="16"/>
          <w:szCs w:val="24"/>
        </w:rPr>
        <w:tab/>
        <w:t>L. Jiao, J.R. Regalbuto, J. Catal. 260 (2008) 329–341.</w:t>
      </w:r>
      <w:r w:rsidR="00FD086D">
        <w:rPr>
          <w:rFonts w:ascii="Arial" w:hAnsi="Arial" w:cs="Arial"/>
          <w:sz w:val="16"/>
          <w:szCs w:val="16"/>
          <w:lang w:val="en-US"/>
        </w:rPr>
        <w:fldChar w:fldCharType="end"/>
      </w:r>
    </w:p>
    <w:p w14:paraId="3898C3F5" w14:textId="18EDC964" w:rsidR="00256F8A" w:rsidRDefault="00256F8A" w:rsidP="00256F8A">
      <w:pPr>
        <w:widowControl w:val="0"/>
        <w:autoSpaceDE w:val="0"/>
        <w:autoSpaceDN w:val="0"/>
        <w:adjustRightInd w:val="0"/>
        <w:ind w:left="640" w:hanging="640"/>
        <w:rPr>
          <w:rFonts w:ascii="Arial" w:hAnsi="Arial" w:cs="Arial"/>
          <w:sz w:val="16"/>
          <w:szCs w:val="16"/>
          <w:lang w:val="en-US"/>
        </w:rPr>
      </w:pPr>
    </w:p>
    <w:p w14:paraId="7553B9F9" w14:textId="68C6FA42" w:rsidR="00256F8A" w:rsidRPr="00256F8A" w:rsidRDefault="00256F8A" w:rsidP="00256F8A">
      <w:pPr>
        <w:widowControl w:val="0"/>
        <w:autoSpaceDE w:val="0"/>
        <w:autoSpaceDN w:val="0"/>
        <w:adjustRightInd w:val="0"/>
        <w:ind w:left="640" w:hanging="640"/>
        <w:rPr>
          <w:rFonts w:ascii="Arial" w:hAnsi="Arial" w:cs="Arial"/>
          <w:sz w:val="19"/>
          <w:szCs w:val="19"/>
          <w:lang w:val="en-US"/>
        </w:rPr>
      </w:pPr>
    </w:p>
    <w:sectPr w:rsidR="00256F8A" w:rsidRPr="00256F8A" w:rsidSect="009D56C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8A2C" w14:textId="77777777" w:rsidR="00766538" w:rsidRDefault="00766538" w:rsidP="009D56CE">
      <w:r>
        <w:separator/>
      </w:r>
    </w:p>
  </w:endnote>
  <w:endnote w:type="continuationSeparator" w:id="0">
    <w:p w14:paraId="6D96674D" w14:textId="77777777" w:rsidR="00766538" w:rsidRDefault="00766538" w:rsidP="009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98A4" w14:textId="77777777" w:rsidR="00A40E18" w:rsidRDefault="00A40E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3A8D" w14:textId="77777777" w:rsidR="00A40E18" w:rsidRDefault="00A40E18">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0414" w14:textId="77777777" w:rsidR="00A40E18" w:rsidRDefault="00A40E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76AA" w14:textId="77777777" w:rsidR="00766538" w:rsidRDefault="00766538" w:rsidP="009D56CE">
      <w:r>
        <w:separator/>
      </w:r>
    </w:p>
  </w:footnote>
  <w:footnote w:type="continuationSeparator" w:id="0">
    <w:p w14:paraId="2C756D29" w14:textId="77777777" w:rsidR="00766538" w:rsidRDefault="00766538" w:rsidP="009D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D732" w14:textId="77777777" w:rsidR="00A40E18" w:rsidRDefault="00A40E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FE1A" w14:textId="4C1FFEB2" w:rsidR="003B67F1" w:rsidRPr="00033527" w:rsidRDefault="003B67F1" w:rsidP="00033527">
    <w:pPr>
      <w:pStyle w:val="Zhlav"/>
      <w:jc w:val="center"/>
      <w:rPr>
        <w:rFonts w:ascii="Arial" w:hAnsi="Arial" w:cs="Arial"/>
        <w:b/>
        <w:i/>
        <w:color w:val="000000"/>
        <w:sz w:val="16"/>
        <w:szCs w:val="16"/>
      </w:rPr>
    </w:pPr>
  </w:p>
  <w:p w14:paraId="35B42774" w14:textId="77777777" w:rsidR="003B67F1" w:rsidRDefault="003B67F1" w:rsidP="009D56CE">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D359" w14:textId="77777777" w:rsidR="00A40E18" w:rsidRDefault="00A40E1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852"/>
    <w:multiLevelType w:val="hybridMultilevel"/>
    <w:tmpl w:val="674EB546"/>
    <w:lvl w:ilvl="0" w:tplc="C6F05F8E">
      <w:start w:val="1"/>
      <w:numFmt w:val="decimal"/>
      <w:pStyle w:val="References"/>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szA1tTAzMDE1sTRR0lEKTi0uzszPAymwqAUAqi+3cCwAAAA="/>
  </w:docVars>
  <w:rsids>
    <w:rsidRoot w:val="009D56CE"/>
    <w:rsid w:val="00022304"/>
    <w:rsid w:val="00033527"/>
    <w:rsid w:val="00053085"/>
    <w:rsid w:val="00062F5E"/>
    <w:rsid w:val="00073E06"/>
    <w:rsid w:val="000B7CA3"/>
    <w:rsid w:val="001170AD"/>
    <w:rsid w:val="00133BD9"/>
    <w:rsid w:val="00177B60"/>
    <w:rsid w:val="00256F8A"/>
    <w:rsid w:val="00264375"/>
    <w:rsid w:val="002F14CC"/>
    <w:rsid w:val="002F48FA"/>
    <w:rsid w:val="0035010B"/>
    <w:rsid w:val="00352CDC"/>
    <w:rsid w:val="003B67F1"/>
    <w:rsid w:val="003E53AF"/>
    <w:rsid w:val="0040441A"/>
    <w:rsid w:val="004A2691"/>
    <w:rsid w:val="004B0459"/>
    <w:rsid w:val="005268BD"/>
    <w:rsid w:val="005858B0"/>
    <w:rsid w:val="00587EF6"/>
    <w:rsid w:val="0059000F"/>
    <w:rsid w:val="005B6D3C"/>
    <w:rsid w:val="00622925"/>
    <w:rsid w:val="006433BF"/>
    <w:rsid w:val="00663FB2"/>
    <w:rsid w:val="006A566D"/>
    <w:rsid w:val="006D5674"/>
    <w:rsid w:val="00707FD4"/>
    <w:rsid w:val="007335A5"/>
    <w:rsid w:val="00766538"/>
    <w:rsid w:val="00773637"/>
    <w:rsid w:val="00773FDC"/>
    <w:rsid w:val="007760FE"/>
    <w:rsid w:val="007779AF"/>
    <w:rsid w:val="007A702D"/>
    <w:rsid w:val="007C53A0"/>
    <w:rsid w:val="007C7EBA"/>
    <w:rsid w:val="00860B8F"/>
    <w:rsid w:val="00890FF7"/>
    <w:rsid w:val="008C4F53"/>
    <w:rsid w:val="009D56CE"/>
    <w:rsid w:val="00A0463E"/>
    <w:rsid w:val="00A14AF8"/>
    <w:rsid w:val="00A2045B"/>
    <w:rsid w:val="00A40E18"/>
    <w:rsid w:val="00AB7B9A"/>
    <w:rsid w:val="00BC6F6D"/>
    <w:rsid w:val="00BD47BA"/>
    <w:rsid w:val="00C172D8"/>
    <w:rsid w:val="00C31854"/>
    <w:rsid w:val="00C448D8"/>
    <w:rsid w:val="00CF5358"/>
    <w:rsid w:val="00D3093B"/>
    <w:rsid w:val="00D344EF"/>
    <w:rsid w:val="00D61251"/>
    <w:rsid w:val="00D854B3"/>
    <w:rsid w:val="00DA28FD"/>
    <w:rsid w:val="00DA70B1"/>
    <w:rsid w:val="00DB338F"/>
    <w:rsid w:val="00DB3A8E"/>
    <w:rsid w:val="00DE5ED7"/>
    <w:rsid w:val="00EB47F8"/>
    <w:rsid w:val="00ED05EF"/>
    <w:rsid w:val="00EF2F91"/>
    <w:rsid w:val="00F37B4D"/>
    <w:rsid w:val="00F4679E"/>
    <w:rsid w:val="00F5480F"/>
    <w:rsid w:val="00FD086D"/>
    <w:rsid w:val="00FF07B6"/>
    <w:rsid w:val="00FF3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65B7"/>
  <w15:docId w15:val="{77F2871B-78E2-495A-B85C-41DBBCE3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B8F"/>
    <w:pPr>
      <w:jc w:val="both"/>
    </w:pPr>
    <w:rPr>
      <w:sz w:val="24"/>
      <w:lang w:val="en-GB" w:eastAsia="en-US"/>
    </w:rPr>
  </w:style>
  <w:style w:type="paragraph" w:styleId="Nadpis1">
    <w:name w:val="heading 1"/>
    <w:basedOn w:val="Normln"/>
    <w:next w:val="Normln"/>
    <w:link w:val="Nadpis1Char"/>
    <w:qFormat/>
    <w:rsid w:val="00860B8F"/>
    <w:pPr>
      <w:keepNext/>
      <w:outlineLvl w:val="0"/>
    </w:pPr>
    <w:rPr>
      <w:b/>
    </w:rPr>
  </w:style>
  <w:style w:type="paragraph" w:styleId="Nadpis2">
    <w:name w:val="heading 2"/>
    <w:basedOn w:val="Normln"/>
    <w:next w:val="Normln"/>
    <w:link w:val="Nadpis2Char"/>
    <w:qFormat/>
    <w:rsid w:val="00860B8F"/>
    <w:pPr>
      <w:keepNext/>
      <w:outlineLvl w:val="1"/>
    </w:pPr>
    <w:rPr>
      <w:b/>
      <w:bCs/>
    </w:rPr>
  </w:style>
  <w:style w:type="paragraph" w:styleId="Nadpis3">
    <w:name w:val="heading 3"/>
    <w:basedOn w:val="Normln"/>
    <w:next w:val="Normln"/>
    <w:link w:val="Nadpis3Char"/>
    <w:qFormat/>
    <w:rsid w:val="00860B8F"/>
    <w:pPr>
      <w:keepNext/>
      <w:outlineLvl w:val="2"/>
    </w:pPr>
    <w:rPr>
      <w:caps/>
    </w:rPr>
  </w:style>
  <w:style w:type="paragraph" w:styleId="Nadpis4">
    <w:name w:val="heading 4"/>
    <w:basedOn w:val="Normln"/>
    <w:next w:val="Normln"/>
    <w:link w:val="Nadpis4Char"/>
    <w:qFormat/>
    <w:rsid w:val="00860B8F"/>
    <w:pPr>
      <w:keepNext/>
      <w:jc w:val="left"/>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0B8F"/>
    <w:rPr>
      <w:b/>
      <w:sz w:val="24"/>
      <w:lang w:val="en-GB" w:eastAsia="en-US"/>
    </w:rPr>
  </w:style>
  <w:style w:type="character" w:customStyle="1" w:styleId="Nadpis2Char">
    <w:name w:val="Nadpis 2 Char"/>
    <w:basedOn w:val="Standardnpsmoodstavce"/>
    <w:link w:val="Nadpis2"/>
    <w:rsid w:val="00860B8F"/>
    <w:rPr>
      <w:b/>
      <w:bCs/>
      <w:sz w:val="24"/>
      <w:lang w:val="en-GB" w:eastAsia="en-US"/>
    </w:rPr>
  </w:style>
  <w:style w:type="character" w:customStyle="1" w:styleId="Nadpis3Char">
    <w:name w:val="Nadpis 3 Char"/>
    <w:basedOn w:val="Standardnpsmoodstavce"/>
    <w:link w:val="Nadpis3"/>
    <w:rsid w:val="00860B8F"/>
    <w:rPr>
      <w:caps/>
      <w:sz w:val="24"/>
      <w:lang w:val="en-GB" w:eastAsia="en-US"/>
    </w:rPr>
  </w:style>
  <w:style w:type="character" w:customStyle="1" w:styleId="Nadpis4Char">
    <w:name w:val="Nadpis 4 Char"/>
    <w:basedOn w:val="Standardnpsmoodstavce"/>
    <w:link w:val="Nadpis4"/>
    <w:rsid w:val="00860B8F"/>
    <w:rPr>
      <w:sz w:val="24"/>
      <w:lang w:val="en-GB" w:eastAsia="en-US"/>
    </w:rPr>
  </w:style>
  <w:style w:type="paragraph" w:styleId="Titulek">
    <w:name w:val="caption"/>
    <w:basedOn w:val="Normln"/>
    <w:next w:val="Normln"/>
    <w:link w:val="TitulekChar"/>
    <w:uiPriority w:val="99"/>
    <w:qFormat/>
    <w:rsid w:val="00860B8F"/>
    <w:pPr>
      <w:jc w:val="center"/>
    </w:pPr>
  </w:style>
  <w:style w:type="character" w:customStyle="1" w:styleId="TitulekChar">
    <w:name w:val="Titulek Char"/>
    <w:link w:val="Titulek"/>
    <w:uiPriority w:val="99"/>
    <w:locked/>
    <w:rsid w:val="00860B8F"/>
    <w:rPr>
      <w:sz w:val="24"/>
      <w:lang w:val="en-GB" w:eastAsia="en-US"/>
    </w:rPr>
  </w:style>
  <w:style w:type="paragraph" w:styleId="Nzev">
    <w:name w:val="Title"/>
    <w:basedOn w:val="Normln"/>
    <w:link w:val="NzevChar"/>
    <w:qFormat/>
    <w:rsid w:val="00860B8F"/>
    <w:pPr>
      <w:jc w:val="center"/>
    </w:pPr>
    <w:rPr>
      <w:b/>
      <w:bCs/>
      <w:sz w:val="28"/>
    </w:rPr>
  </w:style>
  <w:style w:type="character" w:customStyle="1" w:styleId="NzevChar">
    <w:name w:val="Název Char"/>
    <w:basedOn w:val="Standardnpsmoodstavce"/>
    <w:link w:val="Nzev"/>
    <w:rsid w:val="00860B8F"/>
    <w:rPr>
      <w:b/>
      <w:bCs/>
      <w:sz w:val="28"/>
      <w:lang w:val="en-GB" w:eastAsia="en-US"/>
    </w:rPr>
  </w:style>
  <w:style w:type="character" w:styleId="Zdraznn">
    <w:name w:val="Emphasis"/>
    <w:basedOn w:val="Standardnpsmoodstavce"/>
    <w:uiPriority w:val="20"/>
    <w:qFormat/>
    <w:rsid w:val="00860B8F"/>
    <w:rPr>
      <w:i/>
      <w:iCs/>
    </w:rPr>
  </w:style>
  <w:style w:type="paragraph" w:styleId="Odstavecseseznamem">
    <w:name w:val="List Paragraph"/>
    <w:basedOn w:val="Normln"/>
    <w:uiPriority w:val="34"/>
    <w:qFormat/>
    <w:rsid w:val="00860B8F"/>
    <w:pPr>
      <w:spacing w:after="160" w:line="259" w:lineRule="auto"/>
      <w:ind w:left="720"/>
      <w:contextualSpacing/>
      <w:jc w:val="left"/>
    </w:pPr>
    <w:rPr>
      <w:rFonts w:asciiTheme="minorHAnsi" w:eastAsiaTheme="minorHAnsi" w:hAnsiTheme="minorHAnsi" w:cstheme="minorBidi"/>
      <w:sz w:val="22"/>
      <w:szCs w:val="22"/>
      <w:lang w:val="fr-FR"/>
    </w:rPr>
  </w:style>
  <w:style w:type="paragraph" w:styleId="Nadpisobsahu">
    <w:name w:val="TOC Heading"/>
    <w:basedOn w:val="Nadpis1"/>
    <w:next w:val="Normln"/>
    <w:uiPriority w:val="39"/>
    <w:semiHidden/>
    <w:unhideWhenUsed/>
    <w:qFormat/>
    <w:rsid w:val="00860B8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fr-FR"/>
    </w:rPr>
  </w:style>
  <w:style w:type="paragraph" w:customStyle="1" w:styleId="References">
    <w:name w:val="References"/>
    <w:basedOn w:val="Normln"/>
    <w:link w:val="ReferencesChar"/>
    <w:autoRedefine/>
    <w:qFormat/>
    <w:rsid w:val="00860B8F"/>
    <w:pPr>
      <w:numPr>
        <w:numId w:val="1"/>
      </w:numPr>
      <w:contextualSpacing/>
    </w:pPr>
    <w:rPr>
      <w:rFonts w:eastAsia="TimesNewRoman"/>
      <w:iCs/>
      <w:sz w:val="18"/>
      <w:bdr w:val="none" w:sz="0" w:space="0" w:color="auto" w:frame="1"/>
      <w:lang w:eastAsia="it-IT"/>
    </w:rPr>
  </w:style>
  <w:style w:type="character" w:customStyle="1" w:styleId="ReferencesChar">
    <w:name w:val="References Char"/>
    <w:link w:val="References"/>
    <w:rsid w:val="00860B8F"/>
    <w:rPr>
      <w:rFonts w:eastAsia="TimesNewRoman"/>
      <w:iCs/>
      <w:sz w:val="18"/>
      <w:bdr w:val="none" w:sz="0" w:space="0" w:color="auto" w:frame="1"/>
      <w:lang w:val="en-GB" w:eastAsia="it-IT"/>
    </w:rPr>
  </w:style>
  <w:style w:type="paragraph" w:customStyle="1" w:styleId="Titreprincipal">
    <w:name w:val="Titre principal"/>
    <w:basedOn w:val="Normln"/>
    <w:qFormat/>
    <w:rsid w:val="00860B8F"/>
    <w:pPr>
      <w:keepNext/>
      <w:suppressAutoHyphens/>
      <w:spacing w:before="240" w:after="120"/>
      <w:jc w:val="center"/>
    </w:pPr>
    <w:rPr>
      <w:rFonts w:ascii="Liberation Sans" w:eastAsia="Microsoft YaHei" w:hAnsi="Liberation Sans" w:cs="Mangal"/>
      <w:b/>
      <w:bCs/>
      <w:sz w:val="28"/>
      <w:szCs w:val="28"/>
    </w:rPr>
  </w:style>
  <w:style w:type="paragraph" w:styleId="Zhlav">
    <w:name w:val="header"/>
    <w:basedOn w:val="Normln"/>
    <w:link w:val="ZhlavChar"/>
    <w:uiPriority w:val="99"/>
    <w:unhideWhenUsed/>
    <w:rsid w:val="009D56CE"/>
    <w:pPr>
      <w:tabs>
        <w:tab w:val="center" w:pos="4536"/>
        <w:tab w:val="right" w:pos="9072"/>
      </w:tabs>
    </w:pPr>
  </w:style>
  <w:style w:type="character" w:customStyle="1" w:styleId="ZhlavChar">
    <w:name w:val="Záhlaví Char"/>
    <w:basedOn w:val="Standardnpsmoodstavce"/>
    <w:link w:val="Zhlav"/>
    <w:uiPriority w:val="99"/>
    <w:rsid w:val="009D56CE"/>
    <w:rPr>
      <w:sz w:val="24"/>
      <w:lang w:val="en-GB" w:eastAsia="en-US"/>
    </w:rPr>
  </w:style>
  <w:style w:type="paragraph" w:styleId="Zpat">
    <w:name w:val="footer"/>
    <w:basedOn w:val="Normln"/>
    <w:link w:val="ZpatChar"/>
    <w:uiPriority w:val="99"/>
    <w:unhideWhenUsed/>
    <w:rsid w:val="009D56CE"/>
    <w:pPr>
      <w:tabs>
        <w:tab w:val="center" w:pos="4536"/>
        <w:tab w:val="right" w:pos="9072"/>
      </w:tabs>
    </w:pPr>
  </w:style>
  <w:style w:type="character" w:customStyle="1" w:styleId="ZpatChar">
    <w:name w:val="Zápatí Char"/>
    <w:basedOn w:val="Standardnpsmoodstavce"/>
    <w:link w:val="Zpat"/>
    <w:uiPriority w:val="99"/>
    <w:rsid w:val="009D56CE"/>
    <w:rPr>
      <w:sz w:val="24"/>
      <w:lang w:val="en-GB" w:eastAsia="en-US"/>
    </w:rPr>
  </w:style>
  <w:style w:type="paragraph" w:styleId="Textbubliny">
    <w:name w:val="Balloon Text"/>
    <w:basedOn w:val="Normln"/>
    <w:link w:val="TextbublinyChar"/>
    <w:uiPriority w:val="99"/>
    <w:semiHidden/>
    <w:unhideWhenUsed/>
    <w:rsid w:val="009D56CE"/>
    <w:rPr>
      <w:rFonts w:ascii="Tahoma" w:hAnsi="Tahoma" w:cs="Tahoma"/>
      <w:sz w:val="16"/>
      <w:szCs w:val="16"/>
    </w:rPr>
  </w:style>
  <w:style w:type="character" w:customStyle="1" w:styleId="TextbublinyChar">
    <w:name w:val="Text bubliny Char"/>
    <w:basedOn w:val="Standardnpsmoodstavce"/>
    <w:link w:val="Textbubliny"/>
    <w:uiPriority w:val="99"/>
    <w:semiHidden/>
    <w:rsid w:val="009D56CE"/>
    <w:rPr>
      <w:rFonts w:ascii="Tahoma" w:hAnsi="Tahoma" w:cs="Tahoma"/>
      <w:sz w:val="16"/>
      <w:szCs w:val="16"/>
      <w:lang w:val="en-GB" w:eastAsia="en-US"/>
    </w:rPr>
  </w:style>
  <w:style w:type="character" w:styleId="Znakapoznpodarou">
    <w:name w:val="footnote reference"/>
    <w:semiHidden/>
    <w:unhideWhenUsed/>
    <w:rsid w:val="009D56CE"/>
    <w:rPr>
      <w:vertAlign w:val="superscript"/>
    </w:rPr>
  </w:style>
  <w:style w:type="paragraph" w:customStyle="1" w:styleId="2-title">
    <w:name w:val="2-title"/>
    <w:basedOn w:val="Normln"/>
    <w:rsid w:val="009D56CE"/>
    <w:pPr>
      <w:jc w:val="center"/>
    </w:pPr>
    <w:rPr>
      <w:rFonts w:ascii="Arial" w:eastAsia="Calibri" w:hAnsi="Arial" w:cs="Arial"/>
      <w:b/>
      <w:sz w:val="22"/>
      <w:szCs w:val="22"/>
    </w:rPr>
  </w:style>
  <w:style w:type="paragraph" w:customStyle="1" w:styleId="3-author">
    <w:name w:val="3-author"/>
    <w:basedOn w:val="Normln"/>
    <w:rsid w:val="009D56CE"/>
    <w:pPr>
      <w:jc w:val="center"/>
    </w:pPr>
    <w:rPr>
      <w:rFonts w:ascii="Arial" w:eastAsia="Calibri" w:hAnsi="Arial" w:cs="Arial"/>
      <w:b/>
      <w:sz w:val="18"/>
    </w:rPr>
  </w:style>
  <w:style w:type="paragraph" w:customStyle="1" w:styleId="4-dept">
    <w:name w:val="4-dept"/>
    <w:basedOn w:val="Normln"/>
    <w:rsid w:val="009D56CE"/>
    <w:pPr>
      <w:spacing w:before="60" w:after="60"/>
      <w:jc w:val="center"/>
    </w:pPr>
    <w:rPr>
      <w:rFonts w:ascii="Arial" w:eastAsia="Calibri" w:hAnsi="Arial" w:cs="Arial"/>
      <w:i/>
      <w:sz w:val="14"/>
      <w:szCs w:val="18"/>
    </w:rPr>
  </w:style>
  <w:style w:type="paragraph" w:customStyle="1" w:styleId="6-abstract">
    <w:name w:val="6-abstract"/>
    <w:basedOn w:val="Normln"/>
    <w:rsid w:val="009D56CE"/>
    <w:rPr>
      <w:rFonts w:ascii="Arial" w:eastAsia="Calibri" w:hAnsi="Arial" w:cs="Arial"/>
      <w:sz w:val="18"/>
      <w:szCs w:val="18"/>
    </w:rPr>
  </w:style>
  <w:style w:type="character" w:styleId="Hypertextovodkaz">
    <w:name w:val="Hyperlink"/>
    <w:basedOn w:val="Standardnpsmoodstavce"/>
    <w:uiPriority w:val="99"/>
    <w:semiHidden/>
    <w:unhideWhenUsed/>
    <w:rsid w:val="00707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1755">
      <w:bodyDiv w:val="1"/>
      <w:marLeft w:val="0"/>
      <w:marRight w:val="0"/>
      <w:marTop w:val="0"/>
      <w:marBottom w:val="0"/>
      <w:divBdr>
        <w:top w:val="none" w:sz="0" w:space="0" w:color="auto"/>
        <w:left w:val="none" w:sz="0" w:space="0" w:color="auto"/>
        <w:bottom w:val="none" w:sz="0" w:space="0" w:color="auto"/>
        <w:right w:val="none" w:sz="0" w:space="0" w:color="auto"/>
      </w:divBdr>
    </w:div>
    <w:div w:id="1078137931">
      <w:bodyDiv w:val="1"/>
      <w:marLeft w:val="0"/>
      <w:marRight w:val="0"/>
      <w:marTop w:val="0"/>
      <w:marBottom w:val="0"/>
      <w:divBdr>
        <w:top w:val="none" w:sz="0" w:space="0" w:color="auto"/>
        <w:left w:val="none" w:sz="0" w:space="0" w:color="auto"/>
        <w:bottom w:val="none" w:sz="0" w:space="0" w:color="auto"/>
        <w:right w:val="none" w:sz="0" w:space="0" w:color="auto"/>
      </w:divBdr>
    </w:div>
    <w:div w:id="18488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10AC-B33E-437D-8ED7-BAA7EB08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1702</Words>
  <Characters>10389</Characters>
  <Application>Microsoft Office Word</Application>
  <DocSecurity>0</DocSecurity>
  <Lines>176</Lines>
  <Paragraphs>82</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Jiří Pinkas</cp:lastModifiedBy>
  <cp:revision>2</cp:revision>
  <dcterms:created xsi:type="dcterms:W3CDTF">2023-01-09T08:38:00Z</dcterms:created>
  <dcterms:modified xsi:type="dcterms:W3CDTF">2023-01-09T08:38:00Z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http://www.zotero.org/styles/elsevier-harvard-without-titles</vt:lpwstr>
  </property>
  <property fmtid="{D5CDD505-2E9C-101B-9397-08002B2CF9AE}" pid="17" name="Mendeley Recent Style Name 7_1">
    <vt:lpwstr>Elsevier - Harvard (without titles)</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16641f94-a56d-3e0c-bc41-035317fe9ee3</vt:lpwstr>
  </property>
  <property fmtid="{D5CDD505-2E9C-101B-9397-08002B2CF9AE}" pid="24" name="Mendeley Citation Style_1">
    <vt:lpwstr>http://www.zotero.org/styles/elsevier-without-titles</vt:lpwstr>
  </property>
</Properties>
</file>