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714276" w14:textId="7CC2DB3E" w:rsidR="00733AF8" w:rsidRDefault="00B4605C">
      <w:pPr>
        <w:pStyle w:val="Normalny"/>
        <w:spacing w:before="240" w:line="360" w:lineRule="auto"/>
        <w:jc w:val="center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Interactions of gold(I) complexes with models of Thioredoxin reductase; DFT &amp; QM/MM studies</w:t>
      </w:r>
    </w:p>
    <w:p w14:paraId="180F7B24" w14:textId="77777777" w:rsidR="00733AF8" w:rsidRDefault="00733AF8">
      <w:pPr>
        <w:pStyle w:val="FChN-tytul"/>
        <w:tabs>
          <w:tab w:val="clear" w:pos="9481"/>
          <w:tab w:val="left" w:pos="8566"/>
        </w:tabs>
        <w:jc w:val="both"/>
        <w:rPr>
          <w:lang w:val="en-US"/>
        </w:rPr>
      </w:pPr>
    </w:p>
    <w:p w14:paraId="24F3D87D" w14:textId="004BF356" w:rsidR="00733AF8" w:rsidRDefault="00B4605C">
      <w:pPr>
        <w:pStyle w:val="Normalny"/>
        <w:jc w:val="center"/>
        <w:rPr>
          <w:b/>
          <w:bCs/>
          <w:lang w:val="en-US"/>
        </w:rPr>
      </w:pPr>
      <w:r>
        <w:rPr>
          <w:b/>
          <w:bCs/>
          <w:lang w:val="en-US"/>
        </w:rPr>
        <w:t>Milan Říha</w:t>
      </w:r>
      <w:r>
        <w:rPr>
          <w:b/>
          <w:bCs/>
          <w:vertAlign w:val="superscript"/>
          <w:lang w:val="en-US"/>
        </w:rPr>
        <w:t>a*</w:t>
      </w:r>
      <w:r>
        <w:rPr>
          <w:b/>
          <w:bCs/>
          <w:lang w:val="en-US"/>
        </w:rPr>
        <w:t>, Markéta Munzarová</w:t>
      </w:r>
      <w:r>
        <w:rPr>
          <w:b/>
          <w:bCs/>
          <w:vertAlign w:val="superscript"/>
          <w:lang w:val="en-US"/>
        </w:rPr>
        <w:t>a</w:t>
      </w:r>
      <w:r>
        <w:rPr>
          <w:b/>
          <w:bCs/>
          <w:lang w:val="en-US"/>
        </w:rPr>
        <w:t>, Jaroslav Burda</w:t>
      </w:r>
      <w:r>
        <w:rPr>
          <w:b/>
          <w:bCs/>
          <w:vertAlign w:val="superscript"/>
          <w:lang w:val="en-US"/>
        </w:rPr>
        <w:t>b</w:t>
      </w:r>
    </w:p>
    <w:p w14:paraId="39C50708" w14:textId="77777777" w:rsidR="00733AF8" w:rsidRDefault="00733AF8">
      <w:pPr>
        <w:pStyle w:val="FChN-autor"/>
      </w:pPr>
    </w:p>
    <w:p w14:paraId="56AB8CA8" w14:textId="0CE56959" w:rsidR="00733AF8" w:rsidRDefault="00CF5486">
      <w:pPr>
        <w:pStyle w:val="Normalny"/>
        <w:jc w:val="center"/>
        <w:rPr>
          <w:i/>
          <w:iCs/>
          <w:sz w:val="20"/>
          <w:szCs w:val="20"/>
          <w:lang w:val="en-US"/>
        </w:rPr>
      </w:pPr>
      <w:r>
        <w:rPr>
          <w:i/>
          <w:iCs/>
          <w:sz w:val="20"/>
          <w:szCs w:val="20"/>
          <w:vertAlign w:val="superscript"/>
          <w:lang w:val="en-US"/>
        </w:rPr>
        <w:t>a</w:t>
      </w:r>
      <w:r w:rsidR="00770AD9">
        <w:rPr>
          <w:i/>
          <w:iCs/>
          <w:sz w:val="20"/>
          <w:szCs w:val="20"/>
          <w:lang w:val="en-US"/>
        </w:rPr>
        <w:t>Department of Chemistry, Faculty of Science</w:t>
      </w:r>
      <w:r>
        <w:rPr>
          <w:i/>
          <w:iCs/>
          <w:sz w:val="20"/>
          <w:szCs w:val="20"/>
          <w:lang w:val="en-US"/>
        </w:rPr>
        <w:t xml:space="preserve">, </w:t>
      </w:r>
      <w:r w:rsidR="00770AD9">
        <w:rPr>
          <w:i/>
          <w:iCs/>
          <w:sz w:val="20"/>
          <w:szCs w:val="20"/>
          <w:lang w:val="en-US"/>
        </w:rPr>
        <w:t>Masaryk University, Brno, 62500, Czech Republic</w:t>
      </w:r>
    </w:p>
    <w:p w14:paraId="0E3FDF34" w14:textId="6564F168" w:rsidR="00733AF8" w:rsidRDefault="00CF5486">
      <w:pPr>
        <w:pStyle w:val="Normalny"/>
        <w:jc w:val="center"/>
        <w:rPr>
          <w:i/>
          <w:iCs/>
          <w:sz w:val="20"/>
          <w:szCs w:val="20"/>
          <w:lang w:val="en-US"/>
        </w:rPr>
      </w:pPr>
      <w:r>
        <w:rPr>
          <w:i/>
          <w:iCs/>
          <w:sz w:val="20"/>
          <w:szCs w:val="20"/>
          <w:vertAlign w:val="superscript"/>
          <w:lang w:val="en-US"/>
        </w:rPr>
        <w:t>b</w:t>
      </w:r>
      <w:r w:rsidR="00770AD9">
        <w:rPr>
          <w:i/>
          <w:iCs/>
          <w:sz w:val="20"/>
          <w:szCs w:val="20"/>
          <w:lang w:val="en-US"/>
        </w:rPr>
        <w:t>Department of Chemical Physics and Optics, Faculty of Mathematics and Physics, Charles</w:t>
      </w:r>
      <w:r w:rsidR="00255BA9">
        <w:rPr>
          <w:i/>
          <w:iCs/>
          <w:sz w:val="20"/>
          <w:szCs w:val="20"/>
          <w:lang w:val="en-US"/>
        </w:rPr>
        <w:t xml:space="preserve"> University</w:t>
      </w:r>
      <w:r>
        <w:rPr>
          <w:i/>
          <w:iCs/>
          <w:sz w:val="20"/>
          <w:szCs w:val="20"/>
          <w:lang w:val="en-US"/>
        </w:rPr>
        <w:t xml:space="preserve">, </w:t>
      </w:r>
      <w:r w:rsidR="00770AD9">
        <w:rPr>
          <w:i/>
          <w:iCs/>
          <w:sz w:val="20"/>
          <w:szCs w:val="20"/>
          <w:lang w:val="en-US"/>
        </w:rPr>
        <w:t>Prague</w:t>
      </w:r>
      <w:r>
        <w:rPr>
          <w:i/>
          <w:iCs/>
          <w:sz w:val="20"/>
          <w:szCs w:val="20"/>
          <w:lang w:val="en-US"/>
        </w:rPr>
        <w:t>,</w:t>
      </w:r>
      <w:r w:rsidR="00770AD9">
        <w:rPr>
          <w:i/>
          <w:iCs/>
          <w:sz w:val="20"/>
          <w:szCs w:val="20"/>
          <w:lang w:val="en-US"/>
        </w:rPr>
        <w:t> 12116, Czech Republic</w:t>
      </w:r>
    </w:p>
    <w:p w14:paraId="34630C52" w14:textId="5CCC13FD" w:rsidR="00733AF8" w:rsidRDefault="00CF5486">
      <w:pPr>
        <w:pStyle w:val="FChN-afiliacja"/>
      </w:pPr>
      <w:r>
        <w:t xml:space="preserve">*Correspondence: </w:t>
      </w:r>
      <w:r w:rsidR="00770AD9">
        <w:rPr>
          <w:lang w:val="en-US"/>
        </w:rPr>
        <w:t>milan.riha.23</w:t>
      </w:r>
      <w:r>
        <w:rPr>
          <w:lang w:val="en-US"/>
        </w:rPr>
        <w:t>@</w:t>
      </w:r>
      <w:r w:rsidR="00770AD9">
        <w:rPr>
          <w:lang w:val="en-US"/>
        </w:rPr>
        <w:t>gmail</w:t>
      </w:r>
      <w:r>
        <w:rPr>
          <w:lang w:val="en-US"/>
        </w:rPr>
        <w:t>.com</w:t>
      </w:r>
    </w:p>
    <w:p w14:paraId="56DC8805" w14:textId="77777777" w:rsidR="00733AF8" w:rsidRDefault="00733AF8">
      <w:pPr>
        <w:pStyle w:val="FChN-afiliacja"/>
      </w:pPr>
    </w:p>
    <w:p w14:paraId="1BCFBBD0" w14:textId="432C3F9C" w:rsidR="00B4605C" w:rsidRPr="00207347" w:rsidRDefault="00B4605C" w:rsidP="00B4605C">
      <w:pPr>
        <w:spacing w:line="276" w:lineRule="auto"/>
        <w:jc w:val="both"/>
        <w:rPr>
          <w:b/>
          <w:bCs/>
        </w:rPr>
      </w:pPr>
      <w:r w:rsidRPr="00207347">
        <w:rPr>
          <w:bCs/>
        </w:rPr>
        <w:t>One of the treatment options for oncological diseases is programmed cell death (PCD) induced by increased</w:t>
      </w:r>
      <w:bookmarkStart w:id="0" w:name="_GoBack"/>
      <w:bookmarkEnd w:id="0"/>
      <w:r w:rsidRPr="00207347">
        <w:rPr>
          <w:bCs/>
        </w:rPr>
        <w:t xml:space="preserve"> oxidative stress. One of the main PCD types is so-called apoptosis, which is regulated by thioredoxin systems.</w:t>
      </w:r>
      <w:r w:rsidR="009B5A3D">
        <w:rPr>
          <w:bCs/>
        </w:rPr>
        <w:t> </w:t>
      </w:r>
      <w:r w:rsidR="00B83B79">
        <w:rPr>
          <w:bCs/>
        </w:rPr>
        <w:t>[1</w:t>
      </w:r>
      <w:r w:rsidR="009B5A3D">
        <w:rPr>
          <w:bCs/>
        </w:rPr>
        <w:t xml:space="preserve">] </w:t>
      </w:r>
      <w:r w:rsidRPr="00207347">
        <w:rPr>
          <w:bCs/>
        </w:rPr>
        <w:t xml:space="preserve">The thioredoxin reductase enzyme, one of the key thioredoxin system components, can be blocked by gold(I) complexes and hence cause therapeutic oxidative stress. </w:t>
      </w:r>
      <w:r w:rsidR="00B83B79">
        <w:rPr>
          <w:bCs/>
        </w:rPr>
        <w:t>[2]</w:t>
      </w:r>
    </w:p>
    <w:p w14:paraId="0B64E50B" w14:textId="77777777" w:rsidR="00B4605C" w:rsidRPr="00207347" w:rsidRDefault="00B4605C" w:rsidP="00B4605C">
      <w:pPr>
        <w:spacing w:line="276" w:lineRule="auto"/>
        <w:ind w:firstLine="418"/>
        <w:jc w:val="both"/>
        <w:rPr>
          <w:b/>
          <w:bCs/>
        </w:rPr>
      </w:pPr>
      <w:r w:rsidRPr="00207347">
        <w:rPr>
          <w:bCs/>
        </w:rPr>
        <w:t xml:space="preserve">First, we investigated the interactions of a selected gold(I) complex with the active site of </w:t>
      </w:r>
      <w:r>
        <w:rPr>
          <w:bCs/>
        </w:rPr>
        <w:t xml:space="preserve">the </w:t>
      </w:r>
      <w:r w:rsidRPr="00207347">
        <w:rPr>
          <w:bCs/>
        </w:rPr>
        <w:t xml:space="preserve">enzyme using the density functional method. For this purpose, structures of reactants, transition states, and products for different </w:t>
      </w:r>
      <w:r>
        <w:rPr>
          <w:bCs/>
        </w:rPr>
        <w:t>redox states</w:t>
      </w:r>
      <w:r w:rsidRPr="00207347">
        <w:rPr>
          <w:bCs/>
        </w:rPr>
        <w:t xml:space="preserve"> </w:t>
      </w:r>
      <w:r>
        <w:rPr>
          <w:bCs/>
        </w:rPr>
        <w:t xml:space="preserve">and (de)protonations </w:t>
      </w:r>
      <w:r w:rsidRPr="00207347">
        <w:rPr>
          <w:bCs/>
        </w:rPr>
        <w:t xml:space="preserve">of the active site were </w:t>
      </w:r>
      <w:r>
        <w:rPr>
          <w:bCs/>
        </w:rPr>
        <w:t>explored</w:t>
      </w:r>
      <w:r w:rsidRPr="00207347">
        <w:rPr>
          <w:bCs/>
        </w:rPr>
        <w:t>. From these calculations, Gibbs activation energies and standard reaction energies of the reaction profiles were de</w:t>
      </w:r>
      <w:r>
        <w:rPr>
          <w:bCs/>
        </w:rPr>
        <w:t>termined</w:t>
      </w:r>
      <w:r w:rsidRPr="00207347">
        <w:rPr>
          <w:bCs/>
        </w:rPr>
        <w:t>.</w:t>
      </w:r>
    </w:p>
    <w:p w14:paraId="38B39F9A" w14:textId="77777777" w:rsidR="00B4605C" w:rsidRDefault="00B4605C" w:rsidP="00B4605C">
      <w:pPr>
        <w:spacing w:line="276" w:lineRule="auto"/>
        <w:ind w:firstLine="418"/>
        <w:jc w:val="both"/>
        <w:rPr>
          <w:b/>
          <w:bCs/>
        </w:rPr>
      </w:pPr>
      <w:r w:rsidRPr="00207347">
        <w:rPr>
          <w:bCs/>
        </w:rPr>
        <w:t xml:space="preserve">Recently we performed QM/MM MD calculations with Umbrella sampling technique </w:t>
      </w:r>
      <w:r>
        <w:rPr>
          <w:bCs/>
        </w:rPr>
        <w:t>on</w:t>
      </w:r>
      <w:r w:rsidRPr="00207347">
        <w:rPr>
          <w:bCs/>
        </w:rPr>
        <w:t xml:space="preserve"> the </w:t>
      </w:r>
      <w:r>
        <w:rPr>
          <w:bCs/>
        </w:rPr>
        <w:t xml:space="preserve">more extended </w:t>
      </w:r>
      <w:r w:rsidRPr="00207347">
        <w:rPr>
          <w:bCs/>
        </w:rPr>
        <w:t xml:space="preserve">systems </w:t>
      </w:r>
      <w:r>
        <w:rPr>
          <w:bCs/>
        </w:rPr>
        <w:t>where</w:t>
      </w:r>
      <w:r w:rsidRPr="00207347">
        <w:rPr>
          <w:bCs/>
        </w:rPr>
        <w:t xml:space="preserve"> the </w:t>
      </w:r>
      <w:r>
        <w:rPr>
          <w:bCs/>
        </w:rPr>
        <w:t>quantum core comprised tetrapeptide sequence on</w:t>
      </w:r>
      <w:r w:rsidRPr="00207347">
        <w:rPr>
          <w:bCs/>
        </w:rPr>
        <w:t xml:space="preserve"> the </w:t>
      </w:r>
      <w:r>
        <w:rPr>
          <w:bCs/>
        </w:rPr>
        <w:t xml:space="preserve">C-end of the </w:t>
      </w:r>
      <w:r w:rsidRPr="00207347">
        <w:rPr>
          <w:bCs/>
        </w:rPr>
        <w:t>enzyme</w:t>
      </w:r>
      <w:r>
        <w:rPr>
          <w:bCs/>
        </w:rPr>
        <w:t xml:space="preserve"> together with </w:t>
      </w:r>
      <w:r w:rsidRPr="00207347">
        <w:rPr>
          <w:bCs/>
        </w:rPr>
        <w:t xml:space="preserve">the </w:t>
      </w:r>
      <w:r>
        <w:rPr>
          <w:bCs/>
        </w:rPr>
        <w:t>gold(I) complex. This</w:t>
      </w:r>
      <w:r w:rsidRPr="00207347">
        <w:rPr>
          <w:bCs/>
        </w:rPr>
        <w:t xml:space="preserve"> active site </w:t>
      </w:r>
      <w:r>
        <w:rPr>
          <w:bCs/>
        </w:rPr>
        <w:t>was completed by</w:t>
      </w:r>
      <w:r w:rsidRPr="00207347">
        <w:rPr>
          <w:bCs/>
        </w:rPr>
        <w:t xml:space="preserve"> the rest of the enzyme</w:t>
      </w:r>
      <w:r>
        <w:rPr>
          <w:bCs/>
        </w:rPr>
        <w:t xml:space="preserve"> and </w:t>
      </w:r>
      <w:r w:rsidRPr="00207347">
        <w:rPr>
          <w:bCs/>
        </w:rPr>
        <w:t>explicit solvent</w:t>
      </w:r>
      <w:r>
        <w:rPr>
          <w:bCs/>
        </w:rPr>
        <w:t xml:space="preserve"> water treated by classical</w:t>
      </w:r>
      <w:r w:rsidRPr="00207347">
        <w:rPr>
          <w:bCs/>
        </w:rPr>
        <w:t xml:space="preserve"> MD</w:t>
      </w:r>
      <w:r>
        <w:rPr>
          <w:bCs/>
        </w:rPr>
        <w:t xml:space="preserve"> force field.</w:t>
      </w:r>
    </w:p>
    <w:p w14:paraId="5DFEB128" w14:textId="77777777" w:rsidR="00B4605C" w:rsidRPr="00207347" w:rsidRDefault="00B4605C" w:rsidP="00B4605C">
      <w:pPr>
        <w:spacing w:line="276" w:lineRule="auto"/>
        <w:ind w:firstLine="418"/>
        <w:jc w:val="both"/>
        <w:rPr>
          <w:b/>
          <w:bCs/>
        </w:rPr>
      </w:pPr>
      <w:r>
        <w:rPr>
          <w:bCs/>
        </w:rPr>
        <w:t xml:space="preserve">All the computational models predict spontaneous gold coordination to both S- and Se- sites especially in neutral and basic environments. </w:t>
      </w:r>
    </w:p>
    <w:p w14:paraId="02639EA8" w14:textId="77777777" w:rsidR="00733AF8" w:rsidRDefault="00733AF8" w:rsidP="00B83B79">
      <w:pPr>
        <w:pStyle w:val="NormalnyWeb"/>
        <w:jc w:val="both"/>
        <w:rPr>
          <w:lang w:val="en-US"/>
        </w:rPr>
      </w:pPr>
    </w:p>
    <w:p w14:paraId="42CA4023" w14:textId="1088BF9B" w:rsidR="00733AF8" w:rsidRDefault="00CF5486">
      <w:pPr>
        <w:pStyle w:val="Normalny"/>
        <w:spacing w:line="360" w:lineRule="auto"/>
        <w:rPr>
          <w:i/>
          <w:iCs/>
          <w:lang w:val="en-US"/>
        </w:rPr>
      </w:pPr>
      <w:r>
        <w:rPr>
          <w:b/>
          <w:bCs/>
          <w:i/>
          <w:iCs/>
          <w:lang w:val="en-US"/>
        </w:rPr>
        <w:t>Keywords</w:t>
      </w:r>
      <w:r>
        <w:rPr>
          <w:i/>
          <w:iCs/>
          <w:lang w:val="en-US"/>
        </w:rPr>
        <w:t xml:space="preserve">: </w:t>
      </w:r>
      <w:r w:rsidR="00F260EE">
        <w:rPr>
          <w:i/>
          <w:iCs/>
          <w:lang w:val="en-US"/>
        </w:rPr>
        <w:t>thioredoxin reductase, gold(I) complexes, DFT, QM/MM</w:t>
      </w:r>
    </w:p>
    <w:p w14:paraId="4B780333" w14:textId="2FFE5F0D" w:rsidR="00733AF8" w:rsidRPr="000D6FAA" w:rsidRDefault="00CF5486" w:rsidP="000D6FAA">
      <w:pPr>
        <w:pStyle w:val="NormalnyWeb"/>
        <w:jc w:val="both"/>
        <w:rPr>
          <w:b/>
          <w:bCs/>
          <w:i/>
          <w:iCs/>
          <w:sz w:val="20"/>
          <w:szCs w:val="20"/>
          <w:lang w:val="en-US"/>
        </w:rPr>
      </w:pPr>
      <w:r>
        <w:rPr>
          <w:b/>
          <w:bCs/>
          <w:i/>
          <w:iCs/>
          <w:sz w:val="20"/>
          <w:szCs w:val="20"/>
          <w:lang w:val="en-US"/>
        </w:rPr>
        <w:t>References</w:t>
      </w:r>
      <w:r w:rsidR="000D6FAA">
        <w:rPr>
          <w:b/>
          <w:bCs/>
          <w:i/>
          <w:iCs/>
          <w:sz w:val="20"/>
          <w:szCs w:val="20"/>
          <w:lang w:val="en-US"/>
        </w:rPr>
        <w:t>:</w:t>
      </w:r>
    </w:p>
    <w:p w14:paraId="13BD72F7" w14:textId="65F033C9" w:rsidR="000D6FAA" w:rsidRPr="000D6FAA" w:rsidRDefault="009D7D3B" w:rsidP="000D6FAA">
      <w:pPr>
        <w:pStyle w:val="FChN-tekst"/>
        <w:spacing w:after="240"/>
        <w:rPr>
          <w:sz w:val="20"/>
          <w:szCs w:val="20"/>
          <w:lang w:val="en-US"/>
        </w:rPr>
      </w:pPr>
      <w:r w:rsidRPr="000D6FAA">
        <w:rPr>
          <w:sz w:val="20"/>
          <w:szCs w:val="20"/>
          <w:lang w:val="en-US"/>
        </w:rPr>
        <w:t>[1]</w:t>
      </w:r>
      <w:r w:rsidR="00EC2147" w:rsidRPr="000D6FAA">
        <w:rPr>
          <w:sz w:val="20"/>
          <w:szCs w:val="20"/>
          <w:lang w:val="en-US"/>
        </w:rPr>
        <w:t xml:space="preserve"> L</w:t>
      </w:r>
      <w:r w:rsidR="000D6FAA" w:rsidRPr="000D6FAA">
        <w:rPr>
          <w:sz w:val="20"/>
          <w:szCs w:val="20"/>
          <w:lang w:val="en-US"/>
        </w:rPr>
        <w:t>u</w:t>
      </w:r>
      <w:r w:rsidR="00EC2147" w:rsidRPr="000D6FAA">
        <w:rPr>
          <w:sz w:val="20"/>
          <w:szCs w:val="20"/>
          <w:lang w:val="en-US"/>
        </w:rPr>
        <w:t>, J.</w:t>
      </w:r>
      <w:r w:rsidR="000D6FAA" w:rsidRPr="000D6FAA">
        <w:rPr>
          <w:sz w:val="20"/>
          <w:szCs w:val="20"/>
          <w:lang w:val="en-US"/>
        </w:rPr>
        <w:t>;</w:t>
      </w:r>
      <w:r w:rsidR="00EC2147" w:rsidRPr="000D6FAA">
        <w:rPr>
          <w:sz w:val="20"/>
          <w:szCs w:val="20"/>
          <w:lang w:val="en-US"/>
        </w:rPr>
        <w:t xml:space="preserve"> H</w:t>
      </w:r>
      <w:r w:rsidR="000D6FAA" w:rsidRPr="000D6FAA">
        <w:rPr>
          <w:sz w:val="20"/>
          <w:szCs w:val="20"/>
          <w:lang w:val="en-US"/>
        </w:rPr>
        <w:t>olmgren</w:t>
      </w:r>
      <w:r w:rsidR="00EC2147" w:rsidRPr="000D6FAA">
        <w:rPr>
          <w:sz w:val="20"/>
          <w:szCs w:val="20"/>
          <w:lang w:val="en-US"/>
        </w:rPr>
        <w:t xml:space="preserve">, A. Thioredoxin System in Cell Death Progression. </w:t>
      </w:r>
      <w:r w:rsidR="00EC2147" w:rsidRPr="000D6FAA">
        <w:rPr>
          <w:i/>
          <w:iCs/>
          <w:sz w:val="20"/>
          <w:szCs w:val="20"/>
          <w:lang w:val="en-US"/>
        </w:rPr>
        <w:t>Antioxidants &amp; Redox Signaling</w:t>
      </w:r>
      <w:r w:rsidR="00EC2147" w:rsidRPr="000D6FAA">
        <w:rPr>
          <w:sz w:val="20"/>
          <w:szCs w:val="20"/>
          <w:lang w:val="en-US"/>
        </w:rPr>
        <w:t xml:space="preserve"> </w:t>
      </w:r>
      <w:r w:rsidR="00EC2147" w:rsidRPr="000D6FAA">
        <w:rPr>
          <w:b/>
          <w:bCs/>
          <w:sz w:val="20"/>
          <w:szCs w:val="20"/>
          <w:lang w:val="en-US"/>
        </w:rPr>
        <w:t>2012</w:t>
      </w:r>
      <w:r w:rsidR="00EC2147" w:rsidRPr="000D6FAA">
        <w:rPr>
          <w:sz w:val="20"/>
          <w:szCs w:val="20"/>
          <w:lang w:val="en-US"/>
        </w:rPr>
        <w:t>, 17</w:t>
      </w:r>
      <w:r w:rsidR="000D6FAA" w:rsidRPr="000D6FAA">
        <w:rPr>
          <w:sz w:val="20"/>
          <w:szCs w:val="20"/>
          <w:lang w:val="en-US"/>
        </w:rPr>
        <w:t> </w:t>
      </w:r>
      <w:r w:rsidR="00EC2147" w:rsidRPr="000D6FAA">
        <w:rPr>
          <w:sz w:val="20"/>
          <w:szCs w:val="20"/>
          <w:lang w:val="en-US"/>
        </w:rPr>
        <w:t>(12), 1738-1747.</w:t>
      </w:r>
    </w:p>
    <w:p w14:paraId="0911B197" w14:textId="2534AF9E" w:rsidR="000D6FAA" w:rsidRPr="000D6FAA" w:rsidRDefault="000D6FAA" w:rsidP="000D6FAA">
      <w:pPr>
        <w:pStyle w:val="FChN-tekst"/>
        <w:rPr>
          <w:sz w:val="20"/>
          <w:szCs w:val="20"/>
          <w:lang w:val="en-US"/>
        </w:rPr>
      </w:pPr>
      <w:r w:rsidRPr="000D6FAA">
        <w:rPr>
          <w:sz w:val="20"/>
          <w:szCs w:val="20"/>
          <w:lang w:val="en-US"/>
        </w:rPr>
        <w:t xml:space="preserve">[2] Rubbiani, R.; Kitanovic, I.; Alborzinia, H.; Can, S.; Kitanovic, A.; Onambele, L. A.; Stefanopoulou, M.; Geldmacher, Y.; Sheldrick, W. S.; Wolber, G.; Prokop, A.; Woelfl, S.; Ott, I., Benzimidazol-2-ylidene Gold(I) Complexes Are Thioredoxin Reductase Inhibitors with Multiple Antitumor Properties. </w:t>
      </w:r>
      <w:r w:rsidRPr="000D6FAA">
        <w:rPr>
          <w:i/>
          <w:iCs/>
          <w:sz w:val="20"/>
          <w:szCs w:val="20"/>
          <w:lang w:val="en-US"/>
        </w:rPr>
        <w:t>J. Med. Chem</w:t>
      </w:r>
      <w:r w:rsidRPr="000D6FAA">
        <w:rPr>
          <w:sz w:val="20"/>
          <w:szCs w:val="20"/>
          <w:lang w:val="en-US"/>
        </w:rPr>
        <w:t xml:space="preserve">. </w:t>
      </w:r>
      <w:r w:rsidRPr="000D6FAA">
        <w:rPr>
          <w:b/>
          <w:bCs/>
          <w:sz w:val="20"/>
          <w:szCs w:val="20"/>
          <w:lang w:val="en-US"/>
        </w:rPr>
        <w:t>2010</w:t>
      </w:r>
      <w:r w:rsidRPr="000D6FAA">
        <w:rPr>
          <w:sz w:val="20"/>
          <w:szCs w:val="20"/>
          <w:lang w:val="en-US"/>
        </w:rPr>
        <w:t>, 53, 8608–8618.</w:t>
      </w:r>
    </w:p>
    <w:p w14:paraId="166A37AB" w14:textId="77777777" w:rsidR="00EC2147" w:rsidRDefault="00EC2147" w:rsidP="00B83B79">
      <w:pPr>
        <w:pStyle w:val="FChN-tekst"/>
        <w:rPr>
          <w:sz w:val="20"/>
          <w:szCs w:val="20"/>
        </w:rPr>
      </w:pPr>
    </w:p>
    <w:p w14:paraId="561FA6E6" w14:textId="2EEAA3AD" w:rsidR="00733AF8" w:rsidRPr="009D7D3B" w:rsidRDefault="00B83B79" w:rsidP="00B83B79">
      <w:pPr>
        <w:pStyle w:val="FChN-tekst"/>
        <w:rPr>
          <w:sz w:val="20"/>
          <w:szCs w:val="20"/>
        </w:rPr>
      </w:pPr>
      <w:r w:rsidRPr="009D7D3B">
        <w:rPr>
          <w:sz w:val="20"/>
          <w:szCs w:val="20"/>
        </w:rPr>
        <w:t xml:space="preserve"> </w:t>
      </w:r>
    </w:p>
    <w:sectPr w:rsidR="00733AF8" w:rsidRPr="009D7D3B">
      <w:footerReference w:type="default" r:id="rId6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25615F" w14:textId="77777777" w:rsidR="00CF5486" w:rsidRDefault="00CF5486">
      <w:r>
        <w:separator/>
      </w:r>
    </w:p>
  </w:endnote>
  <w:endnote w:type="continuationSeparator" w:id="0">
    <w:p w14:paraId="73C80A76" w14:textId="77777777" w:rsidR="00CF5486" w:rsidRDefault="00CF54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 Neue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20D07A" w14:textId="608B77D3" w:rsidR="00733AF8" w:rsidRDefault="00733AF8">
    <w:pPr>
      <w:pStyle w:val="Nagwek2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816E6A" w14:textId="77777777" w:rsidR="00CF5486" w:rsidRDefault="00CF5486">
      <w:r>
        <w:separator/>
      </w:r>
    </w:p>
  </w:footnote>
  <w:footnote w:type="continuationSeparator" w:id="0">
    <w:p w14:paraId="436490B6" w14:textId="77777777" w:rsidR="00CF5486" w:rsidRDefault="00CF54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AF8"/>
    <w:rsid w:val="000D6FAA"/>
    <w:rsid w:val="00255BA9"/>
    <w:rsid w:val="00426F82"/>
    <w:rsid w:val="00733AF8"/>
    <w:rsid w:val="00770AD9"/>
    <w:rsid w:val="009B5A3D"/>
    <w:rsid w:val="009D7D3B"/>
    <w:rsid w:val="00A038E4"/>
    <w:rsid w:val="00B4605C"/>
    <w:rsid w:val="00B83B79"/>
    <w:rsid w:val="00C4220E"/>
    <w:rsid w:val="00C84D16"/>
    <w:rsid w:val="00CF5486"/>
    <w:rsid w:val="00D536B7"/>
    <w:rsid w:val="00EC0FB6"/>
    <w:rsid w:val="00EC2147"/>
    <w:rsid w:val="00F260EE"/>
    <w:rsid w:val="00F62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FD435"/>
  <w15:docId w15:val="{CE62EAF0-8C09-4B94-BE39-B862D97C9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  <w:lang w:val="en-US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ny">
    <w:name w:val="Normalny"/>
    <w:pPr>
      <w:suppressAutoHyphens/>
      <w:jc w:val="both"/>
    </w:pPr>
    <w:rPr>
      <w:rFonts w:cs="Arial Unicode MS"/>
      <w:color w:val="000000"/>
      <w:kern w:val="1"/>
      <w:sz w:val="24"/>
      <w:szCs w:val="24"/>
      <w:u w:color="000000"/>
    </w:rPr>
  </w:style>
  <w:style w:type="paragraph" w:customStyle="1" w:styleId="Nagwek2">
    <w:name w:val="Nagłówek 2"/>
    <w:next w:val="Normalny"/>
    <w:pPr>
      <w:keepNext/>
      <w:suppressAutoHyphens/>
      <w:spacing w:before="240" w:after="60"/>
      <w:jc w:val="both"/>
      <w:outlineLvl w:val="1"/>
    </w:pPr>
    <w:rPr>
      <w:rFonts w:ascii="Cambria" w:hAnsi="Cambria" w:cs="Arial Unicode MS"/>
      <w:b/>
      <w:bCs/>
      <w:i/>
      <w:iCs/>
      <w:color w:val="000000"/>
      <w:kern w:val="1"/>
      <w:sz w:val="28"/>
      <w:szCs w:val="28"/>
      <w:u w:color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FChN-tytul">
    <w:name w:val="FChN-tytul"/>
    <w:pPr>
      <w:tabs>
        <w:tab w:val="left" w:pos="596"/>
        <w:tab w:val="left" w:pos="9481"/>
      </w:tabs>
      <w:suppressAutoHyphens/>
      <w:jc w:val="center"/>
    </w:pPr>
    <w:rPr>
      <w:rFonts w:eastAsia="Times New Roman"/>
      <w:b/>
      <w:bCs/>
      <w:color w:val="000000"/>
      <w:kern w:val="28"/>
      <w:sz w:val="28"/>
      <w:szCs w:val="28"/>
      <w:u w:color="000000"/>
    </w:rPr>
  </w:style>
  <w:style w:type="paragraph" w:customStyle="1" w:styleId="FChN-autor">
    <w:name w:val="FChN-autor"/>
    <w:pPr>
      <w:suppressAutoHyphens/>
      <w:jc w:val="center"/>
    </w:pPr>
    <w:rPr>
      <w:rFonts w:eastAsia="Times New Roman"/>
      <w:b/>
      <w:bCs/>
      <w:color w:val="000000"/>
      <w:kern w:val="1"/>
      <w:sz w:val="24"/>
      <w:szCs w:val="24"/>
      <w:u w:color="000000"/>
    </w:rPr>
  </w:style>
  <w:style w:type="paragraph" w:customStyle="1" w:styleId="FChN-afiliacja">
    <w:name w:val="FChN-afiliacja"/>
    <w:pPr>
      <w:jc w:val="center"/>
    </w:pPr>
    <w:rPr>
      <w:rFonts w:cs="Arial Unicode MS"/>
      <w:i/>
      <w:iCs/>
      <w:color w:val="000000"/>
      <w:u w:color="000000"/>
    </w:rPr>
  </w:style>
  <w:style w:type="paragraph" w:customStyle="1" w:styleId="FChN-tekst">
    <w:name w:val="FChN-tekst"/>
    <w:pPr>
      <w:suppressAutoHyphens/>
      <w:jc w:val="both"/>
    </w:pPr>
    <w:rPr>
      <w:rFonts w:eastAsia="Times New Roman"/>
      <w:color w:val="000000"/>
      <w:kern w:val="1"/>
      <w:sz w:val="24"/>
      <w:szCs w:val="24"/>
      <w:u w:color="000000"/>
    </w:rPr>
  </w:style>
  <w:style w:type="paragraph" w:customStyle="1" w:styleId="NormalnyWeb">
    <w:name w:val="Normalny (Web)"/>
    <w:pPr>
      <w:spacing w:before="100" w:after="100"/>
    </w:pPr>
    <w:rPr>
      <w:rFonts w:cs="Arial Unicode MS"/>
      <w:color w:val="000000"/>
      <w:sz w:val="24"/>
      <w:szCs w:val="24"/>
      <w:u w:color="000000"/>
    </w:rPr>
  </w:style>
  <w:style w:type="paragraph" w:styleId="Zhlav">
    <w:name w:val="header"/>
    <w:basedOn w:val="Normln"/>
    <w:link w:val="ZhlavChar"/>
    <w:uiPriority w:val="99"/>
    <w:unhideWhenUsed/>
    <w:rsid w:val="00C84D1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84D16"/>
    <w:rPr>
      <w:sz w:val="24"/>
      <w:szCs w:val="24"/>
      <w:lang w:val="en-US" w:eastAsia="en-US"/>
    </w:rPr>
  </w:style>
  <w:style w:type="paragraph" w:styleId="Zpat">
    <w:name w:val="footer"/>
    <w:basedOn w:val="Normln"/>
    <w:link w:val="ZpatChar"/>
    <w:uiPriority w:val="99"/>
    <w:unhideWhenUsed/>
    <w:rsid w:val="00C84D1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84D16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317</Words>
  <Characters>1930</Characters>
  <Application>Microsoft Office Word</Application>
  <DocSecurity>0</DocSecurity>
  <Lines>37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Jiří Pinkas</dc:creator>
  <cp:lastModifiedBy>Jiří Pinkas</cp:lastModifiedBy>
  <cp:revision>2</cp:revision>
  <dcterms:created xsi:type="dcterms:W3CDTF">2022-12-22T12:46:00Z</dcterms:created>
  <dcterms:modified xsi:type="dcterms:W3CDTF">2022-12-22T12:46:00Z</dcterms:modified>
</cp:coreProperties>
</file>