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C6C7" w14:textId="77777777" w:rsidR="00FF3F7A" w:rsidRDefault="00A72620" w:rsidP="00A72620">
      <w:pPr>
        <w:pStyle w:val="Styl1"/>
      </w:pPr>
      <w:bookmarkStart w:id="0" w:name="_GoBack"/>
      <w:r>
        <w:t xml:space="preserve">The </w:t>
      </w:r>
      <w:r w:rsidR="00412DB2">
        <w:t xml:space="preserve">spectroscopic study of </w:t>
      </w:r>
      <w:r>
        <w:t xml:space="preserve">Kinetic </w:t>
      </w:r>
      <w:r w:rsidR="00412DB2">
        <w:t>propertie</w:t>
      </w:r>
      <w:r>
        <w:t xml:space="preserve">s </w:t>
      </w:r>
      <w:r w:rsidR="00FF3F7A">
        <w:t xml:space="preserve"> </w:t>
      </w:r>
    </w:p>
    <w:p w14:paraId="4ADCABD4" w14:textId="66105DA7" w:rsidR="00A72620" w:rsidRDefault="00A72620" w:rsidP="00A72620">
      <w:pPr>
        <w:pStyle w:val="Styl1"/>
        <w:rPr>
          <w:rFonts w:asciiTheme="minorHAnsi" w:hAnsiTheme="minorHAnsi"/>
        </w:rPr>
      </w:pPr>
      <w:r>
        <w:t>of P</w:t>
      </w:r>
      <w:r w:rsidR="006A7169">
        <w:rPr>
          <w:caps w:val="0"/>
        </w:rPr>
        <w:t>b</w:t>
      </w:r>
      <w:r>
        <w:t>(II) Complexes with Phosphonic Acid Derivative Ligands</w:t>
      </w:r>
    </w:p>
    <w:bookmarkEnd w:id="0"/>
    <w:p w14:paraId="2BB49E49" w14:textId="77777777" w:rsidR="00AB56F5" w:rsidRPr="00E426D6" w:rsidRDefault="00AB56F5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291E3A" w14:textId="67208B9A" w:rsidR="00AB56F5" w:rsidRPr="00B50CBB" w:rsidRDefault="00A72620" w:rsidP="00B064E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Viktorie ŠIRŮČKOVÁ, </w:t>
      </w:r>
      <w:proofErr w:type="spellStart"/>
      <w:r w:rsidR="001F51B2" w:rsidRPr="00A72620">
        <w:rPr>
          <w:rFonts w:ascii="Times New Roman" w:hAnsi="Times New Roman"/>
          <w:sz w:val="24"/>
          <w:szCs w:val="24"/>
          <w:lang w:val="en-US"/>
        </w:rPr>
        <w:t>Přemysl</w:t>
      </w:r>
      <w:proofErr w:type="spellEnd"/>
      <w:r w:rsidR="00AB56F5" w:rsidRPr="00A7262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51B2" w:rsidRPr="00A72620">
        <w:rPr>
          <w:rFonts w:ascii="Times New Roman" w:hAnsi="Times New Roman"/>
          <w:sz w:val="24"/>
          <w:szCs w:val="24"/>
          <w:lang w:val="en-US"/>
        </w:rPr>
        <w:t>LUBAL</w:t>
      </w:r>
      <w:r w:rsidR="00AB56F5" w:rsidRPr="00DE2B4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03796A65" w14:textId="77777777"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63F35791" w14:textId="2FCA901C" w:rsidR="00AB56F5" w:rsidRPr="00E426D6" w:rsidRDefault="00AB56F5" w:rsidP="00B064EF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Department of Chemistry, Faculty of Science, Masaryk University, </w:t>
      </w:r>
      <w:proofErr w:type="spellStart"/>
      <w:r w:rsidRPr="00E426D6">
        <w:rPr>
          <w:rFonts w:ascii="Times New Roman" w:hAnsi="Times New Roman"/>
          <w:i/>
          <w:sz w:val="24"/>
          <w:szCs w:val="24"/>
          <w:lang w:val="en-US"/>
        </w:rPr>
        <w:t>Kotlářská</w:t>
      </w:r>
      <w:proofErr w:type="spellEnd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2, </w:t>
      </w:r>
      <w:r w:rsidR="0053758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gramEnd"/>
      <w:r w:rsidR="00537584">
        <w:rPr>
          <w:rFonts w:ascii="Times New Roman" w:hAnsi="Times New Roman"/>
          <w:i/>
          <w:sz w:val="24"/>
          <w:szCs w:val="24"/>
          <w:lang w:val="en-US"/>
        </w:rPr>
        <w:t xml:space="preserve">               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>611 37 Brno, Czech Republic</w:t>
      </w:r>
    </w:p>
    <w:p w14:paraId="24DE3683" w14:textId="6F314810" w:rsidR="00AB56F5" w:rsidRPr="00E426D6" w:rsidRDefault="00B064EF" w:rsidP="00AB56F5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E</w:t>
      </w:r>
      <w:r w:rsidR="00B50CBB">
        <w:rPr>
          <w:rFonts w:ascii="Times New Roman" w:hAnsi="Times New Roman"/>
          <w:i/>
          <w:sz w:val="24"/>
          <w:szCs w:val="24"/>
          <w:lang w:val="en-US"/>
        </w:rPr>
        <w:t>-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>mail:</w:t>
      </w:r>
      <w:r w:rsidR="00E41246">
        <w:rPr>
          <w:rFonts w:ascii="Times New Roman" w:hAnsi="Times New Roman"/>
          <w:i/>
          <w:sz w:val="24"/>
          <w:szCs w:val="24"/>
          <w:lang w:val="en-US"/>
        </w:rPr>
        <w:t xml:space="preserve"> siruckova.viki@gmail.com</w:t>
      </w:r>
    </w:p>
    <w:p w14:paraId="7BDE0AD1" w14:textId="77777777" w:rsidR="00B064EF" w:rsidRPr="00E426D6" w:rsidRDefault="00B064EF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9FECBB" w14:textId="37996B34" w:rsidR="00F608E2" w:rsidRDefault="006A7169" w:rsidP="00F608E2">
      <w:pPr>
        <w:pStyle w:val="MDPI31tex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A7169">
        <w:rPr>
          <w:rFonts w:ascii="Times New Roman" w:hAnsi="Times New Roman"/>
          <w:sz w:val="24"/>
          <w:szCs w:val="24"/>
        </w:rPr>
        <w:t xml:space="preserve">Pb(II) has been gaining popularity in various scientific fields – for example, in biomedicine for its potential to be a cancer-treating </w:t>
      </w:r>
      <w:proofErr w:type="spellStart"/>
      <w:r w:rsidRPr="006A7169">
        <w:rPr>
          <w:rFonts w:ascii="Times New Roman" w:hAnsi="Times New Roman"/>
          <w:sz w:val="24"/>
          <w:szCs w:val="24"/>
        </w:rPr>
        <w:t>theranostic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 agent (in which </w:t>
      </w:r>
      <w:r w:rsidRPr="006A7169">
        <w:rPr>
          <w:rFonts w:ascii="Times New Roman" w:hAnsi="Times New Roman"/>
          <w:sz w:val="24"/>
          <w:szCs w:val="24"/>
          <w:vertAlign w:val="superscript"/>
        </w:rPr>
        <w:t>203</w:t>
      </w:r>
      <w:r w:rsidRPr="006A7169">
        <w:rPr>
          <w:rFonts w:ascii="Times New Roman" w:hAnsi="Times New Roman"/>
          <w:sz w:val="24"/>
          <w:szCs w:val="24"/>
        </w:rPr>
        <w:t xml:space="preserve">Pb can be used for tumor visualization and </w:t>
      </w:r>
      <w:r w:rsidRPr="006A7169">
        <w:rPr>
          <w:rFonts w:ascii="Times New Roman" w:hAnsi="Times New Roman"/>
          <w:sz w:val="24"/>
          <w:szCs w:val="24"/>
          <w:vertAlign w:val="superscript"/>
        </w:rPr>
        <w:t>212</w:t>
      </w:r>
      <w:r w:rsidRPr="006A7169">
        <w:rPr>
          <w:rFonts w:ascii="Times New Roman" w:hAnsi="Times New Roman"/>
          <w:sz w:val="24"/>
          <w:szCs w:val="24"/>
        </w:rPr>
        <w:t>Pb for tumor treatment)</w:t>
      </w:r>
      <w:r w:rsidR="00E01964">
        <w:rPr>
          <w:rFonts w:ascii="Times New Roman" w:hAnsi="Times New Roman"/>
          <w:sz w:val="24"/>
          <w:szCs w:val="24"/>
        </w:rPr>
        <w:t xml:space="preserve"> in the form </w:t>
      </w:r>
      <w:proofErr w:type="gramStart"/>
      <w:r w:rsidR="00E01964">
        <w:rPr>
          <w:rFonts w:ascii="Times New Roman" w:hAnsi="Times New Roman"/>
          <w:sz w:val="24"/>
          <w:szCs w:val="24"/>
        </w:rPr>
        <w:t xml:space="preserve">of  </w:t>
      </w:r>
      <w:r w:rsidRPr="006A7169">
        <w:rPr>
          <w:rFonts w:ascii="Times New Roman" w:hAnsi="Times New Roman"/>
          <w:sz w:val="24"/>
          <w:szCs w:val="24"/>
        </w:rPr>
        <w:t>Pb</w:t>
      </w:r>
      <w:proofErr w:type="gramEnd"/>
      <w:r w:rsidRPr="006A7169"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 xml:space="preserve"> </w:t>
      </w:r>
      <w:r w:rsidR="00E01964">
        <w:rPr>
          <w:rFonts w:ascii="Times New Roman" w:hAnsi="Times New Roman"/>
          <w:sz w:val="24"/>
          <w:szCs w:val="24"/>
        </w:rPr>
        <w:t xml:space="preserve">complexes of </w:t>
      </w:r>
      <w:r w:rsidRPr="006A7169">
        <w:rPr>
          <w:rFonts w:ascii="Times New Roman" w:hAnsi="Times New Roman"/>
          <w:sz w:val="24"/>
          <w:szCs w:val="24"/>
        </w:rPr>
        <w:t xml:space="preserve">macrocyclic </w:t>
      </w:r>
      <w:r w:rsidR="00E01964">
        <w:rPr>
          <w:rFonts w:ascii="Times New Roman" w:hAnsi="Times New Roman"/>
          <w:sz w:val="24"/>
          <w:szCs w:val="24"/>
        </w:rPr>
        <w:t>ligands</w:t>
      </w:r>
      <w:r w:rsidRPr="006A7169">
        <w:rPr>
          <w:rFonts w:ascii="Times New Roman" w:hAnsi="Times New Roman"/>
          <w:sz w:val="24"/>
          <w:szCs w:val="24"/>
        </w:rPr>
        <w:t xml:space="preserve">. </w:t>
      </w:r>
      <w:r w:rsidR="00FF3F7A" w:rsidRPr="006A7169">
        <w:rPr>
          <w:rFonts w:ascii="Times New Roman" w:hAnsi="Times New Roman"/>
          <w:sz w:val="24"/>
          <w:szCs w:val="24"/>
        </w:rPr>
        <w:t xml:space="preserve">Macrocyclic ligands containing pendant arms with </w:t>
      </w:r>
      <w:proofErr w:type="spellStart"/>
      <w:r w:rsidR="00FF3F7A" w:rsidRPr="006A7169">
        <w:rPr>
          <w:rFonts w:ascii="Times New Roman" w:hAnsi="Times New Roman"/>
          <w:sz w:val="24"/>
          <w:szCs w:val="24"/>
        </w:rPr>
        <w:t>phosphonic</w:t>
      </w:r>
      <w:proofErr w:type="spellEnd"/>
      <w:r w:rsidR="00FF3F7A" w:rsidRPr="006A7169">
        <w:rPr>
          <w:rFonts w:ascii="Times New Roman" w:hAnsi="Times New Roman"/>
          <w:sz w:val="24"/>
          <w:szCs w:val="24"/>
        </w:rPr>
        <w:t>/</w:t>
      </w:r>
      <w:proofErr w:type="spellStart"/>
      <w:r w:rsidR="00FF3F7A" w:rsidRPr="006A7169">
        <w:rPr>
          <w:rFonts w:ascii="Times New Roman" w:hAnsi="Times New Roman"/>
          <w:sz w:val="24"/>
          <w:szCs w:val="24"/>
        </w:rPr>
        <w:t>phosphinic</w:t>
      </w:r>
      <w:proofErr w:type="spellEnd"/>
      <w:r w:rsidR="00FF3F7A" w:rsidRPr="006A7169">
        <w:rPr>
          <w:rFonts w:ascii="Times New Roman" w:hAnsi="Times New Roman"/>
          <w:sz w:val="24"/>
          <w:szCs w:val="24"/>
        </w:rPr>
        <w:t xml:space="preserve"> acid-based groups enable greater structural variability of the macrocyclic complex as well as variability in the </w:t>
      </w:r>
      <w:proofErr w:type="spellStart"/>
      <w:r w:rsidR="00FF3F7A" w:rsidRPr="006A7169">
        <w:rPr>
          <w:rFonts w:ascii="Times New Roman" w:hAnsi="Times New Roman"/>
          <w:sz w:val="24"/>
          <w:szCs w:val="24"/>
        </w:rPr>
        <w:t>physic</w:t>
      </w:r>
      <w:r w:rsidR="00FF3F7A">
        <w:rPr>
          <w:rFonts w:ascii="Times New Roman" w:hAnsi="Times New Roman"/>
          <w:sz w:val="24"/>
          <w:szCs w:val="24"/>
        </w:rPr>
        <w:t>o</w:t>
      </w:r>
      <w:proofErr w:type="spellEnd"/>
      <w:r w:rsidR="00FF3F7A">
        <w:rPr>
          <w:rFonts w:ascii="Times New Roman" w:hAnsi="Times New Roman"/>
          <w:sz w:val="24"/>
          <w:szCs w:val="24"/>
        </w:rPr>
        <w:t>-</w:t>
      </w:r>
      <w:r w:rsidR="00FF3F7A" w:rsidRPr="006A7169">
        <w:rPr>
          <w:rFonts w:ascii="Times New Roman" w:hAnsi="Times New Roman"/>
          <w:sz w:val="24"/>
          <w:szCs w:val="24"/>
        </w:rPr>
        <w:t xml:space="preserve">chemical </w:t>
      </w:r>
      <w:r w:rsidR="00FF3F7A">
        <w:rPr>
          <w:rFonts w:ascii="Times New Roman" w:hAnsi="Times New Roman"/>
          <w:sz w:val="24"/>
          <w:szCs w:val="24"/>
        </w:rPr>
        <w:t xml:space="preserve">properties </w:t>
      </w:r>
      <w:r w:rsidR="00FF3F7A" w:rsidRPr="006A7169">
        <w:rPr>
          <w:rFonts w:ascii="Times New Roman" w:hAnsi="Times New Roman"/>
          <w:sz w:val="24"/>
          <w:szCs w:val="24"/>
        </w:rPr>
        <w:t>of the</w:t>
      </w:r>
      <w:r w:rsidR="00FF3F7A">
        <w:rPr>
          <w:rFonts w:ascii="Times New Roman" w:hAnsi="Times New Roman"/>
          <w:sz w:val="24"/>
          <w:szCs w:val="24"/>
        </w:rPr>
        <w:t xml:space="preserve"> Pb(II)</w:t>
      </w:r>
      <w:r w:rsidR="00FF3F7A" w:rsidRPr="006A7169">
        <w:rPr>
          <w:rFonts w:ascii="Times New Roman" w:hAnsi="Times New Roman"/>
          <w:sz w:val="24"/>
          <w:szCs w:val="24"/>
        </w:rPr>
        <w:t xml:space="preserve"> complex.</w:t>
      </w:r>
      <w:r w:rsidR="00FF3F7A">
        <w:rPr>
          <w:rFonts w:ascii="Times New Roman" w:hAnsi="Times New Roman"/>
          <w:sz w:val="24"/>
          <w:szCs w:val="24"/>
        </w:rPr>
        <w:t xml:space="preserve"> </w:t>
      </w:r>
      <w:r w:rsidR="00E41246" w:rsidRPr="006A7169">
        <w:rPr>
          <w:rFonts w:ascii="Times New Roman" w:hAnsi="Times New Roman"/>
          <w:sz w:val="24"/>
          <w:szCs w:val="24"/>
        </w:rPr>
        <w:t>In order to develop</w:t>
      </w:r>
      <w:r w:rsidR="00E41246">
        <w:rPr>
          <w:rFonts w:ascii="Times New Roman" w:hAnsi="Times New Roman"/>
          <w:sz w:val="24"/>
          <w:szCs w:val="24"/>
        </w:rPr>
        <w:t xml:space="preserve"> </w:t>
      </w:r>
      <w:r w:rsidR="00E41246" w:rsidRPr="006A7169">
        <w:rPr>
          <w:rFonts w:ascii="Times New Roman" w:hAnsi="Times New Roman"/>
          <w:sz w:val="24"/>
          <w:szCs w:val="24"/>
        </w:rPr>
        <w:t>macrocyclic complexes with the desired</w:t>
      </w:r>
      <w:r w:rsidR="00E41246">
        <w:rPr>
          <w:rFonts w:ascii="Times New Roman" w:hAnsi="Times New Roman"/>
          <w:sz w:val="24"/>
          <w:szCs w:val="24"/>
        </w:rPr>
        <w:t xml:space="preserve"> </w:t>
      </w:r>
      <w:r w:rsidR="00E41246" w:rsidRPr="006A7169">
        <w:rPr>
          <w:rFonts w:ascii="Times New Roman" w:hAnsi="Times New Roman"/>
          <w:sz w:val="24"/>
          <w:szCs w:val="24"/>
        </w:rPr>
        <w:t>properties</w:t>
      </w:r>
      <w:r w:rsidR="00E41246">
        <w:rPr>
          <w:rFonts w:ascii="Times New Roman" w:hAnsi="Times New Roman"/>
          <w:sz w:val="24"/>
          <w:szCs w:val="24"/>
        </w:rPr>
        <w:t xml:space="preserve"> for medicinal purposes</w:t>
      </w:r>
      <w:r w:rsidR="00E41246" w:rsidRPr="006A7169">
        <w:rPr>
          <w:rFonts w:ascii="Times New Roman" w:hAnsi="Times New Roman"/>
          <w:sz w:val="24"/>
          <w:szCs w:val="24"/>
        </w:rPr>
        <w:t>, the kinetics and thermodynamics of the complexes must be well-understood.</w:t>
      </w:r>
      <w:r w:rsidR="00E41246">
        <w:rPr>
          <w:rFonts w:ascii="Times New Roman" w:hAnsi="Times New Roman"/>
          <w:sz w:val="24"/>
          <w:szCs w:val="24"/>
        </w:rPr>
        <w:t xml:space="preserve"> </w:t>
      </w:r>
      <w:r w:rsidRPr="006A7169">
        <w:rPr>
          <w:rFonts w:ascii="Times New Roman" w:hAnsi="Times New Roman"/>
          <w:sz w:val="24"/>
          <w:szCs w:val="24"/>
        </w:rPr>
        <w:t xml:space="preserve">This poster presents a detailed kinetic and thermodynamic study of </w:t>
      </w:r>
      <w:proofErr w:type="spellStart"/>
      <w:r w:rsidRPr="006A7169">
        <w:rPr>
          <w:rFonts w:ascii="Times New Roman" w:hAnsi="Times New Roman"/>
          <w:sz w:val="24"/>
          <w:szCs w:val="24"/>
        </w:rPr>
        <w:t>Pb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(II) complexes with </w:t>
      </w:r>
      <w:proofErr w:type="spellStart"/>
      <w:r w:rsidRPr="006A7169">
        <w:rPr>
          <w:rFonts w:ascii="Times New Roman" w:hAnsi="Times New Roman"/>
          <w:sz w:val="24"/>
          <w:szCs w:val="24"/>
        </w:rPr>
        <w:t>cyclen</w:t>
      </w:r>
      <w:proofErr w:type="spellEnd"/>
      <w:r w:rsidRPr="006A7169">
        <w:rPr>
          <w:rFonts w:ascii="Times New Roman" w:hAnsi="Times New Roman"/>
          <w:sz w:val="24"/>
          <w:szCs w:val="24"/>
        </w:rPr>
        <w:t>-based macrocycles containing one (DO3AP</w:t>
      </w:r>
      <w:r w:rsidRPr="006A7169">
        <w:rPr>
          <w:rFonts w:ascii="Times New Roman" w:hAnsi="Times New Roman"/>
          <w:sz w:val="24"/>
          <w:szCs w:val="24"/>
          <w:vertAlign w:val="superscript"/>
        </w:rPr>
        <w:t>ABn</w:t>
      </w:r>
      <w:r w:rsidRPr="006A7169">
        <w:rPr>
          <w:rFonts w:ascii="Times New Roman" w:hAnsi="Times New Roman"/>
          <w:sz w:val="24"/>
          <w:szCs w:val="24"/>
        </w:rPr>
        <w:t>, DO3AP</w:t>
      </w:r>
      <w:r w:rsidRPr="006A7169">
        <w:rPr>
          <w:rFonts w:ascii="Times New Roman" w:hAnsi="Times New Roman"/>
          <w:sz w:val="24"/>
          <w:szCs w:val="24"/>
          <w:vertAlign w:val="superscript"/>
        </w:rPr>
        <w:t>PrA</w:t>
      </w:r>
      <w:r w:rsidRPr="006A7169">
        <w:rPr>
          <w:rFonts w:ascii="Times New Roman" w:hAnsi="Times New Roman"/>
          <w:sz w:val="24"/>
          <w:szCs w:val="24"/>
        </w:rPr>
        <w:t xml:space="preserve">, DO3AP) or four (DOTP, </w:t>
      </w:r>
      <w:proofErr w:type="spellStart"/>
      <w:r w:rsidRPr="006A7169">
        <w:rPr>
          <w:rFonts w:ascii="Times New Roman" w:hAnsi="Times New Roman"/>
          <w:sz w:val="24"/>
          <w:szCs w:val="24"/>
        </w:rPr>
        <w:t>DOT</w:t>
      </w:r>
      <w:r w:rsidRPr="00F608E2">
        <w:rPr>
          <w:rFonts w:ascii="Times New Roman" w:hAnsi="Times New Roman"/>
          <w:sz w:val="24"/>
          <w:szCs w:val="24"/>
          <w:vertAlign w:val="superscript"/>
        </w:rPr>
        <w:t>Ph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7169">
        <w:rPr>
          <w:rFonts w:ascii="Times New Roman" w:hAnsi="Times New Roman"/>
          <w:sz w:val="24"/>
          <w:szCs w:val="24"/>
        </w:rPr>
        <w:t>DOTP</w:t>
      </w:r>
      <w:r w:rsidRPr="00F608E2">
        <w:rPr>
          <w:rFonts w:ascii="Times New Roman" w:hAnsi="Times New Roman"/>
          <w:sz w:val="24"/>
          <w:szCs w:val="24"/>
          <w:vertAlign w:val="superscript"/>
        </w:rPr>
        <w:t>Ph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7169">
        <w:rPr>
          <w:rFonts w:ascii="Times New Roman" w:hAnsi="Times New Roman"/>
          <w:sz w:val="24"/>
          <w:szCs w:val="24"/>
        </w:rPr>
        <w:t>DOTP</w:t>
      </w:r>
      <w:r w:rsidRPr="00F608E2">
        <w:rPr>
          <w:rFonts w:ascii="Times New Roman" w:hAnsi="Times New Roman"/>
          <w:sz w:val="24"/>
          <w:szCs w:val="24"/>
          <w:vertAlign w:val="superscript"/>
        </w:rPr>
        <w:t>OEt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A7169">
        <w:rPr>
          <w:rFonts w:ascii="Times New Roman" w:hAnsi="Times New Roman"/>
          <w:sz w:val="24"/>
          <w:szCs w:val="24"/>
        </w:rPr>
        <w:t>phosphonic</w:t>
      </w:r>
      <w:proofErr w:type="spellEnd"/>
      <w:r w:rsidRPr="006A7169">
        <w:rPr>
          <w:rFonts w:ascii="Times New Roman" w:hAnsi="Times New Roman"/>
          <w:sz w:val="24"/>
          <w:szCs w:val="24"/>
        </w:rPr>
        <w:t xml:space="preserve"> acid derivative pendant arms. The ligand DOTA, which contains four acetic acid pendant arms, is used as a comparison.</w:t>
      </w:r>
    </w:p>
    <w:p w14:paraId="54A32EF1" w14:textId="1C6999E8" w:rsidR="006A7169" w:rsidRDefault="006A7169" w:rsidP="005A01DB">
      <w:pPr>
        <w:pStyle w:val="MDPI31text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6A7169">
        <w:rPr>
          <w:rFonts w:ascii="Times New Roman" w:hAnsi="Times New Roman"/>
          <w:sz w:val="24"/>
          <w:szCs w:val="24"/>
        </w:rPr>
        <w:t>The kinetics of formation and dissociation</w:t>
      </w:r>
      <w:r w:rsidR="00FF3F7A">
        <w:rPr>
          <w:rFonts w:ascii="Times New Roman" w:hAnsi="Times New Roman"/>
          <w:sz w:val="24"/>
          <w:szCs w:val="24"/>
        </w:rPr>
        <w:t xml:space="preserve"> of Pb(II) complexes</w:t>
      </w:r>
      <w:r w:rsidRPr="006A7169">
        <w:rPr>
          <w:rFonts w:ascii="Times New Roman" w:hAnsi="Times New Roman"/>
          <w:sz w:val="24"/>
          <w:szCs w:val="24"/>
        </w:rPr>
        <w:t xml:space="preserve"> in various pH conditions were monitored using </w:t>
      </w:r>
      <w:r w:rsidR="00F608E2">
        <w:rPr>
          <w:rFonts w:ascii="Times New Roman" w:hAnsi="Times New Roman"/>
          <w:sz w:val="24"/>
          <w:szCs w:val="24"/>
        </w:rPr>
        <w:t xml:space="preserve">conventional molecular absorption </w:t>
      </w:r>
      <w:r w:rsidRPr="006A7169">
        <w:rPr>
          <w:rFonts w:ascii="Times New Roman" w:hAnsi="Times New Roman"/>
          <w:sz w:val="24"/>
          <w:szCs w:val="24"/>
        </w:rPr>
        <w:t>spectroscopy at λ = 260nm</w:t>
      </w:r>
      <w:r w:rsidR="00F608E2">
        <w:rPr>
          <w:rFonts w:ascii="Times New Roman" w:hAnsi="Times New Roman"/>
          <w:sz w:val="24"/>
          <w:szCs w:val="24"/>
        </w:rPr>
        <w:t>, while f</w:t>
      </w:r>
      <w:r w:rsidRPr="006A7169">
        <w:rPr>
          <w:rFonts w:ascii="Times New Roman" w:hAnsi="Times New Roman"/>
          <w:sz w:val="24"/>
          <w:szCs w:val="24"/>
        </w:rPr>
        <w:t xml:space="preserve">or very fast reactions (on the order of seconds), stopped-flow </w:t>
      </w:r>
      <w:r w:rsidR="00E41246">
        <w:rPr>
          <w:rFonts w:ascii="Times New Roman" w:hAnsi="Times New Roman"/>
          <w:sz w:val="24"/>
          <w:szCs w:val="24"/>
        </w:rPr>
        <w:t>instrumentation</w:t>
      </w:r>
      <w:r w:rsidR="00F608E2">
        <w:rPr>
          <w:rFonts w:ascii="Times New Roman" w:hAnsi="Times New Roman"/>
          <w:sz w:val="24"/>
          <w:szCs w:val="24"/>
        </w:rPr>
        <w:t xml:space="preserve"> </w:t>
      </w:r>
      <w:r w:rsidRPr="006A7169">
        <w:rPr>
          <w:rFonts w:ascii="Times New Roman" w:hAnsi="Times New Roman"/>
          <w:sz w:val="24"/>
          <w:szCs w:val="24"/>
        </w:rPr>
        <w:t xml:space="preserve">was employed. The results for the formation kinetics indicated that complexes with ligands with one phosphonic-acid pendant arm had similar rate constants, while the formation of complexes with all four phosphonic-acid based ligands was slightly faster. The mechanism of formation was determined by doing studies with excess Pb(II) and is presented – in general, the complex is formed first as an out-of-cage complex with the pendant arms coordinating to the Pb(II) ion, which is then incorporated into the cavity through a second, slower step. The kinetic </w:t>
      </w:r>
      <w:r w:rsidR="005A01DB">
        <w:rPr>
          <w:rFonts w:ascii="Times New Roman" w:hAnsi="Times New Roman"/>
          <w:sz w:val="24"/>
          <w:szCs w:val="24"/>
        </w:rPr>
        <w:t xml:space="preserve">inertness </w:t>
      </w:r>
      <w:r w:rsidRPr="006A7169">
        <w:rPr>
          <w:rFonts w:ascii="Times New Roman" w:hAnsi="Times New Roman"/>
          <w:sz w:val="24"/>
          <w:szCs w:val="24"/>
        </w:rPr>
        <w:t>of the complexes follows the order DOTA &gt; DO3AP</w:t>
      </w:r>
      <w:r w:rsidRPr="006A7169">
        <w:rPr>
          <w:rFonts w:ascii="Times New Roman" w:hAnsi="Times New Roman"/>
          <w:sz w:val="24"/>
          <w:szCs w:val="24"/>
          <w:vertAlign w:val="superscript"/>
        </w:rPr>
        <w:t>ABn</w:t>
      </w:r>
      <w:r w:rsidRPr="006A7169">
        <w:rPr>
          <w:rFonts w:ascii="Times New Roman" w:hAnsi="Times New Roman"/>
          <w:sz w:val="24"/>
          <w:szCs w:val="24"/>
        </w:rPr>
        <w:t xml:space="preserve"> ≈ DO3AP</w:t>
      </w:r>
      <w:r w:rsidRPr="006A7169">
        <w:rPr>
          <w:rFonts w:ascii="Times New Roman" w:hAnsi="Times New Roman"/>
          <w:sz w:val="24"/>
          <w:szCs w:val="24"/>
          <w:vertAlign w:val="superscript"/>
        </w:rPr>
        <w:t>PrA</w:t>
      </w:r>
      <w:r w:rsidRPr="006A7169">
        <w:rPr>
          <w:rFonts w:ascii="Times New Roman" w:hAnsi="Times New Roman"/>
          <w:sz w:val="24"/>
          <w:szCs w:val="24"/>
        </w:rPr>
        <w:t xml:space="preserve"> &gt; DO3AP &gt; complexes with all four phosphonic-acid derivative pendant arms. </w:t>
      </w:r>
      <w:r w:rsidR="00E41246">
        <w:rPr>
          <w:rFonts w:ascii="Times New Roman" w:hAnsi="Times New Roman"/>
          <w:sz w:val="24"/>
          <w:szCs w:val="24"/>
        </w:rPr>
        <w:t>Preliminary c</w:t>
      </w:r>
      <w:r w:rsidRPr="006A7169">
        <w:rPr>
          <w:rFonts w:ascii="Times New Roman" w:hAnsi="Times New Roman"/>
          <w:sz w:val="24"/>
          <w:szCs w:val="24"/>
        </w:rPr>
        <w:t>omputational studies were done to determine any relationship between structural parameters (such as bond length) and kinetic</w:t>
      </w:r>
      <w:r w:rsidR="006D042E">
        <w:rPr>
          <w:rFonts w:ascii="Times New Roman" w:hAnsi="Times New Roman"/>
          <w:sz w:val="24"/>
          <w:szCs w:val="24"/>
        </w:rPr>
        <w:t xml:space="preserve"> </w:t>
      </w:r>
      <w:r w:rsidRPr="006A7169">
        <w:rPr>
          <w:rFonts w:ascii="Times New Roman" w:hAnsi="Times New Roman"/>
          <w:sz w:val="24"/>
          <w:szCs w:val="24"/>
        </w:rPr>
        <w:t>parameters. Overall, complexes with a longer Pb-N bond length had a faster rate of formation; those with a longer Pb-O bond length had a slower rate of dissociation.</w:t>
      </w:r>
    </w:p>
    <w:p w14:paraId="6B182F8E" w14:textId="77777777" w:rsidR="00F608E2" w:rsidRPr="006A7169" w:rsidRDefault="00F608E2" w:rsidP="00F608E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76C054" w14:textId="33B2BC76" w:rsidR="00AB56F5" w:rsidRPr="00CB14C9" w:rsidRDefault="00AB56F5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Acknowledgements</w:t>
      </w:r>
    </w:p>
    <w:p w14:paraId="382324DE" w14:textId="30A93909" w:rsidR="00752674" w:rsidRPr="00752674" w:rsidRDefault="00752674" w:rsidP="00752674">
      <w:pPr>
        <w:pStyle w:val="MDPI62Acknowledgments"/>
        <w:rPr>
          <w:rFonts w:ascii="Times New Roman" w:hAnsi="Times New Roman"/>
          <w:sz w:val="24"/>
          <w:szCs w:val="24"/>
          <w:lang w:val="en-GB"/>
        </w:rPr>
      </w:pPr>
      <w:r w:rsidRPr="00752674">
        <w:rPr>
          <w:rFonts w:ascii="Times New Roman" w:hAnsi="Times New Roman"/>
          <w:sz w:val="24"/>
          <w:szCs w:val="24"/>
          <w:lang w:val="en-GB"/>
        </w:rPr>
        <w:t xml:space="preserve">This work was supported by Masaryk University (MUNI/A/1539/2021), Ministry of Education of the Czech Republic (LTC20044) and EU (COST CA18202 NECTAR Action). </w:t>
      </w:r>
    </w:p>
    <w:p w14:paraId="2B86FBAE" w14:textId="77777777" w:rsidR="00C51803" w:rsidRPr="00752674" w:rsidRDefault="00C51803">
      <w:pPr>
        <w:rPr>
          <w:rFonts w:ascii="Times New Roman" w:hAnsi="Times New Roman"/>
          <w:sz w:val="24"/>
          <w:szCs w:val="24"/>
        </w:rPr>
      </w:pPr>
    </w:p>
    <w:sectPr w:rsidR="00C51803" w:rsidRPr="00752674" w:rsidSect="009A0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B4D"/>
    <w:multiLevelType w:val="hybridMultilevel"/>
    <w:tmpl w:val="83A00D14"/>
    <w:lvl w:ilvl="0" w:tplc="D02E1D0A">
      <w:start w:val="1"/>
      <w:numFmt w:val="decimal"/>
      <w:lvlText w:val="[%1]"/>
      <w:lvlJc w:val="left"/>
      <w:pPr>
        <w:ind w:left="492" w:hanging="6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280F"/>
    <w:multiLevelType w:val="hybridMultilevel"/>
    <w:tmpl w:val="39C4A4BA"/>
    <w:lvl w:ilvl="0" w:tplc="BCE06940">
      <w:start w:val="1"/>
      <w:numFmt w:val="decimal"/>
      <w:lvlText w:val="[%1]"/>
      <w:lvlJc w:val="left"/>
      <w:pPr>
        <w:ind w:left="1418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A4"/>
    <w:rsid w:val="00012401"/>
    <w:rsid w:val="000424F2"/>
    <w:rsid w:val="000C6D7E"/>
    <w:rsid w:val="000E366B"/>
    <w:rsid w:val="000F13E3"/>
    <w:rsid w:val="00122447"/>
    <w:rsid w:val="00124127"/>
    <w:rsid w:val="001F51B2"/>
    <w:rsid w:val="002772BE"/>
    <w:rsid w:val="00286B5F"/>
    <w:rsid w:val="00286C30"/>
    <w:rsid w:val="00313829"/>
    <w:rsid w:val="003163A3"/>
    <w:rsid w:val="00333F1F"/>
    <w:rsid w:val="0037729C"/>
    <w:rsid w:val="003C0B82"/>
    <w:rsid w:val="00412DB2"/>
    <w:rsid w:val="00423555"/>
    <w:rsid w:val="004434E9"/>
    <w:rsid w:val="004F0131"/>
    <w:rsid w:val="00537584"/>
    <w:rsid w:val="005A01DB"/>
    <w:rsid w:val="006A7169"/>
    <w:rsid w:val="006D042E"/>
    <w:rsid w:val="006E6955"/>
    <w:rsid w:val="007118CB"/>
    <w:rsid w:val="00752674"/>
    <w:rsid w:val="00776594"/>
    <w:rsid w:val="00782A43"/>
    <w:rsid w:val="008427D1"/>
    <w:rsid w:val="008775EC"/>
    <w:rsid w:val="00896C92"/>
    <w:rsid w:val="008D454A"/>
    <w:rsid w:val="009A132B"/>
    <w:rsid w:val="009B32A2"/>
    <w:rsid w:val="00A72620"/>
    <w:rsid w:val="00AB56F5"/>
    <w:rsid w:val="00B064EF"/>
    <w:rsid w:val="00B47597"/>
    <w:rsid w:val="00B50CBB"/>
    <w:rsid w:val="00B56F09"/>
    <w:rsid w:val="00B8219E"/>
    <w:rsid w:val="00BE3C9A"/>
    <w:rsid w:val="00C123D0"/>
    <w:rsid w:val="00C35A07"/>
    <w:rsid w:val="00C51803"/>
    <w:rsid w:val="00C92141"/>
    <w:rsid w:val="00CB14C9"/>
    <w:rsid w:val="00CC5017"/>
    <w:rsid w:val="00CF50BA"/>
    <w:rsid w:val="00D24672"/>
    <w:rsid w:val="00D5016A"/>
    <w:rsid w:val="00DE2B4C"/>
    <w:rsid w:val="00E01964"/>
    <w:rsid w:val="00E14F1A"/>
    <w:rsid w:val="00E40DA4"/>
    <w:rsid w:val="00E41246"/>
    <w:rsid w:val="00E426D6"/>
    <w:rsid w:val="00ED2767"/>
    <w:rsid w:val="00F608E2"/>
    <w:rsid w:val="00F70823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0F0B"/>
  <w15:chartTrackingRefBased/>
  <w15:docId w15:val="{78559353-559B-400F-BBA0-108F440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5A07"/>
    <w:pPr>
      <w:ind w:left="720"/>
      <w:contextualSpacing/>
    </w:pPr>
  </w:style>
  <w:style w:type="paragraph" w:customStyle="1" w:styleId="ESASnadpis">
    <w:name w:val="ESAS nadpis"/>
    <w:basedOn w:val="Nadpis1"/>
    <w:link w:val="ESASnadpisChar"/>
    <w:qFormat/>
    <w:rsid w:val="00BE3C9A"/>
    <w:pPr>
      <w:keepNext w:val="0"/>
      <w:spacing w:line="276" w:lineRule="auto"/>
      <w:jc w:val="center"/>
    </w:pPr>
    <w:rPr>
      <w:rFonts w:ascii="Arial" w:hAnsi="Arial" w:cs="Arial"/>
      <w:caps/>
      <w:sz w:val="28"/>
      <w:szCs w:val="28"/>
    </w:rPr>
  </w:style>
  <w:style w:type="paragraph" w:customStyle="1" w:styleId="Styl1">
    <w:name w:val="Styl1"/>
    <w:basedOn w:val="ESASnadpis"/>
    <w:link w:val="Styl1Char"/>
    <w:qFormat/>
    <w:rsid w:val="00BE3C9A"/>
  </w:style>
  <w:style w:type="character" w:customStyle="1" w:styleId="ESASnadpisChar">
    <w:name w:val="ESAS nadpis Char"/>
    <w:basedOn w:val="Nadpis1Char"/>
    <w:link w:val="ESASnadpis"/>
    <w:rsid w:val="00BE3C9A"/>
    <w:rPr>
      <w:rFonts w:ascii="Arial" w:eastAsia="Times New Roman" w:hAnsi="Arial" w:cs="Arial"/>
      <w:b/>
      <w:bCs/>
      <w:caps/>
      <w:sz w:val="28"/>
      <w:szCs w:val="28"/>
      <w:lang w:val="en-US"/>
    </w:rPr>
  </w:style>
  <w:style w:type="character" w:customStyle="1" w:styleId="Styl1Char">
    <w:name w:val="Styl1 Char"/>
    <w:basedOn w:val="ESASnadpisChar"/>
    <w:link w:val="Styl1"/>
    <w:rsid w:val="00BE3C9A"/>
    <w:rPr>
      <w:rFonts w:ascii="Arial" w:eastAsia="Times New Roman" w:hAnsi="Arial" w:cs="Arial"/>
      <w:b/>
      <w:bCs/>
      <w:caps/>
      <w:sz w:val="28"/>
      <w:szCs w:val="28"/>
      <w:lang w:val="en-US"/>
    </w:rPr>
  </w:style>
  <w:style w:type="paragraph" w:customStyle="1" w:styleId="MDPI12title">
    <w:name w:val="MDPI_1.2_title"/>
    <w:next w:val="Normln"/>
    <w:qFormat/>
    <w:rsid w:val="00122447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styleId="Zdraznn">
    <w:name w:val="Emphasis"/>
    <w:basedOn w:val="Standardnpsmoodstavce"/>
    <w:uiPriority w:val="20"/>
    <w:qFormat/>
    <w:rsid w:val="00896C92"/>
    <w:rPr>
      <w:i/>
      <w:iCs/>
    </w:rPr>
  </w:style>
  <w:style w:type="paragraph" w:customStyle="1" w:styleId="MDPI31text">
    <w:name w:val="MDPI_3.1_text"/>
    <w:qFormat/>
    <w:rsid w:val="008427D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Normln"/>
    <w:qFormat/>
    <w:rsid w:val="000C6D7E"/>
    <w:pPr>
      <w:numPr>
        <w:numId w:val="3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hAnsi="Palatino Linotype"/>
      <w:snapToGrid w:val="0"/>
      <w:color w:val="000000"/>
      <w:sz w:val="18"/>
      <w:szCs w:val="20"/>
      <w:lang w:val="en-US" w:eastAsia="de-DE" w:bidi="en-US"/>
    </w:rPr>
  </w:style>
  <w:style w:type="character" w:customStyle="1" w:styleId="hithilite">
    <w:name w:val="hithilite"/>
    <w:rsid w:val="000C6D7E"/>
  </w:style>
  <w:style w:type="character" w:customStyle="1" w:styleId="label">
    <w:name w:val="label"/>
    <w:rsid w:val="000C6D7E"/>
  </w:style>
  <w:style w:type="character" w:customStyle="1" w:styleId="databold">
    <w:name w:val="data_bold"/>
    <w:rsid w:val="000C6D7E"/>
  </w:style>
  <w:style w:type="paragraph" w:customStyle="1" w:styleId="MDPI62Acknowledgments">
    <w:name w:val="MDPI_6.2_Acknowledgments"/>
    <w:qFormat/>
    <w:rsid w:val="00752674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MUNI\Marketa\Konference\ESAS2022\abstract%20template_ESAS&amp;CSSC2022.dotx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84F49FACBCA4E9AD58E5EB6027B00" ma:contentTypeVersion="14" ma:contentTypeDescription="Vytvoří nový dokument" ma:contentTypeScope="" ma:versionID="5d64737ee218510dcdac436f5cedcff7">
  <xsd:schema xmlns:xsd="http://www.w3.org/2001/XMLSchema" xmlns:xs="http://www.w3.org/2001/XMLSchema" xmlns:p="http://schemas.microsoft.com/office/2006/metadata/properties" xmlns:ns3="058b0a94-11e0-4089-ae43-1d7cc41a3b12" xmlns:ns4="85ba1267-bcb4-4943-9dc6-7de15fc8bbc6" targetNamespace="http://schemas.microsoft.com/office/2006/metadata/properties" ma:root="true" ma:fieldsID="d97154f98739acd7796cd28da1628bff" ns3:_="" ns4:_="">
    <xsd:import namespace="058b0a94-11e0-4089-ae43-1d7cc41a3b12"/>
    <xsd:import namespace="85ba1267-bcb4-4943-9dc6-7de15fc8b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0a94-11e0-4089-ae43-1d7cc41a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1267-bcb4-4943-9dc6-7de15fc8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2A145-B893-42C9-8A0B-9E8DF8BC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b0a94-11e0-4089-ae43-1d7cc41a3b12"/>
    <ds:schemaRef ds:uri="85ba1267-bcb4-4943-9dc6-7de15fc8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DA30B-C6AA-403E-98B2-FCD261989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D3BC6-4BFB-4C9B-8100-64F7261DD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template_ESAS&amp;CSSC2022.dotx</Template>
  <TotalTime>0</TotalTime>
  <Pages>1</Pages>
  <Words>391</Words>
  <Characters>2348</Characters>
  <Application>Microsoft Office Word</Application>
  <DocSecurity>0</DocSecurity>
  <Lines>40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Jiří Pinkas</cp:lastModifiedBy>
  <cp:revision>2</cp:revision>
  <dcterms:created xsi:type="dcterms:W3CDTF">2023-01-04T15:58:00Z</dcterms:created>
  <dcterms:modified xsi:type="dcterms:W3CDTF">2023-01-04T15:58:00Z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0x010100E8484F49FACBCA4E9AD58E5EB6027B00</vt:lpwstr>
  </property>
</Properties>
</file>