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omments.xml" ContentType="application/vnd.openxmlformats-officedocument.wordprocessingml.comment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commentsExtensible.xml" ContentType="application/vnd.openxmlformats-officedocument.wordprocessingml.commentsExtensi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B2BA" w14:textId="77777777" w:rsidR="00CE1ED9" w:rsidRDefault="00CE1ED9"/>
    <w:tbl>
      <w:tblPr>
        <w:tblStyle w:val="a2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835"/>
      </w:tblGrid>
      <w:tr w:rsidR="00CE1ED9" w14:paraId="5628C28F" w14:textId="77777777" w:rsidTr="00B529EE">
        <w:trPr>
          <w:trHeight w:val="90"/>
        </w:trPr>
        <w:tc>
          <w:tcPr>
            <w:tcW w:w="6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2A76" w14:textId="6C44C14F" w:rsidR="00CE1ED9" w:rsidRDefault="00B529EE" w:rsidP="00B52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96"/>
            </w:pPr>
            <w:r w:rsidRPr="00B529EE">
              <w:t xml:space="preserve">Experimentální a aplikovaná toxikologie a </w:t>
            </w:r>
            <w:proofErr w:type="spellStart"/>
            <w:r w:rsidRPr="00B529EE">
              <w:t>ekotoxikologie</w:t>
            </w:r>
            <w:proofErr w:type="spellEnd"/>
            <w:r w:rsidRPr="00B529EE">
              <w:t xml:space="preserve"> – cvičení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E71B" w14:textId="77777777" w:rsidR="00CE1E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Monika Kuncová</w:t>
            </w:r>
          </w:p>
        </w:tc>
      </w:tr>
      <w:tr w:rsidR="00CE1ED9" w14:paraId="3CC218CC" w14:textId="77777777" w:rsidTr="00B529EE">
        <w:tc>
          <w:tcPr>
            <w:tcW w:w="6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DA49" w14:textId="4A16F57C" w:rsidR="00CE1ED9" w:rsidRDefault="00B529EE" w:rsidP="00B529EE">
            <w:pPr>
              <w:widowControl w:val="0"/>
              <w:spacing w:line="240" w:lineRule="auto"/>
              <w:ind w:right="-1080"/>
            </w:pPr>
            <w:r>
              <w:t xml:space="preserve">Test inhibice růstu zelené řasy </w:t>
            </w:r>
            <w:proofErr w:type="spellStart"/>
            <w:r>
              <w:t>Raphidocelis</w:t>
            </w:r>
            <w:proofErr w:type="spellEnd"/>
            <w:r>
              <w:t xml:space="preserve"> </w:t>
            </w:r>
            <w:proofErr w:type="spellStart"/>
            <w:r>
              <w:t>subcapitata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29C5" w14:textId="2A65F803" w:rsidR="00CE1ED9" w:rsidRDefault="00B52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30. 10. 2023</w:t>
            </w:r>
          </w:p>
        </w:tc>
      </w:tr>
    </w:tbl>
    <w:p w14:paraId="7D3E26B8" w14:textId="77777777" w:rsidR="00CE1ED9" w:rsidRDefault="00CE1ED9"/>
    <w:p w14:paraId="54604E2A" w14:textId="77777777" w:rsidR="00CE1ED9" w:rsidRDefault="00000000">
      <w:r>
        <w:rPr>
          <w:b/>
        </w:rPr>
        <w:t>Teoretický úvod</w:t>
      </w:r>
    </w:p>
    <w:p w14:paraId="0DA37BB3" w14:textId="6FFAE671" w:rsidR="00CE1ED9" w:rsidRDefault="00B529EE">
      <w:r w:rsidRPr="00B529EE">
        <w:t>Vodní prostředí je často kontaminováno pesticidy z různých zdrojů</w:t>
      </w:r>
      <w:r>
        <w:t xml:space="preserve">. Jedná se </w:t>
      </w:r>
      <w:r w:rsidRPr="00B529EE">
        <w:t>zejmé</w:t>
      </w:r>
      <w:r>
        <w:t xml:space="preserve">na o </w:t>
      </w:r>
      <w:r w:rsidRPr="00B529EE">
        <w:t>zemědělsk</w:t>
      </w:r>
      <w:r>
        <w:t>é</w:t>
      </w:r>
      <w:r w:rsidRPr="00B529EE">
        <w:t xml:space="preserve"> splach</w:t>
      </w:r>
      <w:r>
        <w:t>y</w:t>
      </w:r>
      <w:r w:rsidRPr="00B529EE">
        <w:t xml:space="preserve">, </w:t>
      </w:r>
      <w:r>
        <w:t xml:space="preserve">které </w:t>
      </w:r>
      <w:r w:rsidRPr="00B529EE">
        <w:t>představuj</w:t>
      </w:r>
      <w:r>
        <w:t>í</w:t>
      </w:r>
      <w:r w:rsidRPr="00B529EE">
        <w:t xml:space="preserve"> potenciální nebezpečí pro necílové organismy</w:t>
      </w:r>
      <w:r w:rsidR="00801542">
        <w:t>. Tyto organismy jsou</w:t>
      </w:r>
      <w:r>
        <w:t xml:space="preserve"> vystaveny směs</w:t>
      </w:r>
      <w:r w:rsidR="00801542">
        <w:t>ím</w:t>
      </w:r>
      <w:r>
        <w:t xml:space="preserve"> látek, které mohou způsobit akutní i chronickou expozici, což může vést k různým (synergickým či antagonistickým) nežádoucím účinkům. </w:t>
      </w:r>
      <w:sdt>
        <w:sdtPr>
          <w:rPr>
            <w:color w:val="000000"/>
            <w:vertAlign w:val="superscript"/>
          </w:rPr>
          <w:tag w:val="MENDELEY_CITATION_v3_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"/>
          <w:id w:val="927693418"/>
          <w:placeholder>
            <w:docPart w:val="DefaultPlaceholder_-1854013440"/>
          </w:placeholder>
        </w:sdtPr>
        <w:sdtContent>
          <w:r w:rsidR="00A96D48" w:rsidRPr="00A96D48">
            <w:rPr>
              <w:color w:val="000000"/>
              <w:vertAlign w:val="superscript"/>
            </w:rPr>
            <w:t>1</w:t>
          </w:r>
        </w:sdtContent>
      </w:sdt>
      <w:r>
        <w:t xml:space="preserve"> </w:t>
      </w:r>
    </w:p>
    <w:p w14:paraId="53CD3EB8" w14:textId="275B4E4F" w:rsidR="00CE1ED9" w:rsidRDefault="00801542">
      <w:r>
        <w:tab/>
      </w:r>
      <w:proofErr w:type="spellStart"/>
      <w:r w:rsidR="00E00060" w:rsidRPr="00D2337F">
        <w:t>Diuron</w:t>
      </w:r>
      <w:proofErr w:type="spellEnd"/>
      <w:r w:rsidR="00E00060" w:rsidRPr="00D2337F">
        <w:t xml:space="preserve"> je biologicky aktivní polutant přítomný v půdě, vodě a sedimentech.</w:t>
      </w:r>
      <w:r w:rsidR="00E00060">
        <w:t xml:space="preserve"> Jedná se o </w:t>
      </w:r>
      <w:r w:rsidR="0001775F" w:rsidRPr="0001775F">
        <w:t>běžně používan</w:t>
      </w:r>
      <w:r w:rsidR="0001775F">
        <w:t>ý</w:t>
      </w:r>
      <w:r w:rsidR="0001775F" w:rsidRPr="0001775F">
        <w:t xml:space="preserve"> pesticid v různých plodinách, jako je bavlna, káva, cukrová třtina, kukuřice</w:t>
      </w:r>
      <w:r w:rsidR="0001775F">
        <w:t xml:space="preserve"> či </w:t>
      </w:r>
      <w:r w:rsidR="0001775F" w:rsidRPr="0001775F">
        <w:t>pšenice</w:t>
      </w:r>
      <w:r w:rsidR="0001775F">
        <w:t>.</w:t>
      </w:r>
      <w:sdt>
        <w:sdtPr>
          <w:rPr>
            <w:color w:val="000000"/>
            <w:vertAlign w:val="superscript"/>
          </w:rPr>
          <w:tag w:val="MENDELEY_CITATION_v3_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"/>
          <w:id w:val="599148410"/>
          <w:placeholder>
            <w:docPart w:val="DefaultPlaceholder_-1854013440"/>
          </w:placeholder>
        </w:sdtPr>
        <w:sdtContent>
          <w:r w:rsidR="00A96D48" w:rsidRPr="00A96D48">
            <w:rPr>
              <w:color w:val="000000"/>
              <w:vertAlign w:val="superscript"/>
            </w:rPr>
            <w:t>1</w:t>
          </w:r>
        </w:sdtContent>
      </w:sdt>
      <w:r w:rsidR="0001775F">
        <w:t xml:space="preserve"> Jeho výskyt byl ve vodním prostředí zaznamenám</w:t>
      </w:r>
      <w:r w:rsidR="0001775F" w:rsidRPr="0001775F">
        <w:t xml:space="preserve"> po celém světě</w:t>
      </w:r>
      <w:r w:rsidR="0001775F">
        <w:t xml:space="preserve">. </w:t>
      </w:r>
      <w:proofErr w:type="spellStart"/>
      <w:r w:rsidR="00D2337F" w:rsidRPr="00D2337F">
        <w:t>Diuron</w:t>
      </w:r>
      <w:proofErr w:type="spellEnd"/>
      <w:r w:rsidR="00D2337F" w:rsidRPr="00D2337F">
        <w:t xml:space="preserve"> je herbicid, který inhibuje fotosyntézu tím, že blokuje elektronový transportní řetězec na </w:t>
      </w:r>
      <w:proofErr w:type="spellStart"/>
      <w:r w:rsidR="00D2337F" w:rsidRPr="00D2337F">
        <w:t>fotosystému</w:t>
      </w:r>
      <w:proofErr w:type="spellEnd"/>
      <w:r w:rsidR="00D2337F" w:rsidRPr="00D2337F">
        <w:t xml:space="preserve"> II u mikroorganismů a </w:t>
      </w:r>
      <w:proofErr w:type="spellStart"/>
      <w:r w:rsidR="00D2337F" w:rsidRPr="00D2337F">
        <w:t>fotosyntetizujících</w:t>
      </w:r>
      <w:proofErr w:type="spellEnd"/>
      <w:r w:rsidR="00D2337F" w:rsidRPr="00D2337F">
        <w:t xml:space="preserve"> rostlin</w:t>
      </w:r>
      <w:r w:rsidR="00D2337F">
        <w:t>.</w:t>
      </w:r>
      <w:sdt>
        <w:sdtPr>
          <w:rPr>
            <w:color w:val="000000"/>
            <w:vertAlign w:val="superscript"/>
          </w:rPr>
          <w:tag w:val="MENDELEY_CITATION_v3_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"/>
          <w:id w:val="-865522416"/>
          <w:placeholder>
            <w:docPart w:val="DefaultPlaceholder_-1854013440"/>
          </w:placeholder>
        </w:sdtPr>
        <w:sdtContent>
          <w:r w:rsidR="00A96D48" w:rsidRPr="00A96D48">
            <w:rPr>
              <w:color w:val="000000"/>
              <w:vertAlign w:val="superscript"/>
            </w:rPr>
            <w:t>2</w:t>
          </w:r>
        </w:sdtContent>
      </w:sdt>
      <w:r w:rsidR="00D2337F">
        <w:t xml:space="preserve"> </w:t>
      </w:r>
      <w:r w:rsidR="00D2337F" w:rsidRPr="00D2337F">
        <w:t xml:space="preserve">Je také mírně toxický pro savce a ptáky a středně toxický pro vodní bezobratlé. Jeho hlavní produkt biologického rozkladu, </w:t>
      </w:r>
      <w:proofErr w:type="gramStart"/>
      <w:r w:rsidR="00D2337F" w:rsidRPr="00D2337F">
        <w:t>3,4-dichloranilin</w:t>
      </w:r>
      <w:proofErr w:type="gramEnd"/>
      <w:r w:rsidR="00D2337F" w:rsidRPr="00D2337F">
        <w:t xml:space="preserve">, </w:t>
      </w:r>
      <w:r w:rsidR="00E00060">
        <w:t xml:space="preserve">který je stejně jako </w:t>
      </w:r>
      <w:proofErr w:type="spellStart"/>
      <w:r w:rsidR="00E00060">
        <w:t>diuron</w:t>
      </w:r>
      <w:proofErr w:type="spellEnd"/>
      <w:r w:rsidR="00E00060">
        <w:t xml:space="preserve"> </w:t>
      </w:r>
      <w:r w:rsidR="00D2337F" w:rsidRPr="00D2337F">
        <w:t>perzistentní v půdě, vodě a podzemních vodách.</w:t>
      </w:r>
      <w:sdt>
        <w:sdtPr>
          <w:rPr>
            <w:color w:val="000000"/>
            <w:vertAlign w:val="superscript"/>
          </w:rPr>
          <w:tag w:val="MENDELEY_CITATION_v3_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"/>
          <w:id w:val="-1038360644"/>
          <w:placeholder>
            <w:docPart w:val="DefaultPlaceholder_-1854013440"/>
          </w:placeholder>
        </w:sdtPr>
        <w:sdtContent>
          <w:r w:rsidR="00A96D48" w:rsidRPr="00A96D48">
            <w:rPr>
              <w:color w:val="000000"/>
              <w:vertAlign w:val="superscript"/>
            </w:rPr>
            <w:t>2</w:t>
          </w:r>
        </w:sdtContent>
      </w:sdt>
    </w:p>
    <w:p w14:paraId="0CA4DEC4" w14:textId="62977A00" w:rsidR="00A96D48" w:rsidRDefault="00A96D48">
      <w:r>
        <w:tab/>
      </w:r>
      <w:r w:rsidRPr="00A96D48">
        <w:t xml:space="preserve">Kontaminace vodního prostředí </w:t>
      </w:r>
      <w:proofErr w:type="spellStart"/>
      <w:r w:rsidRPr="00A96D48">
        <w:t>diuronem</w:t>
      </w:r>
      <w:proofErr w:type="spellEnd"/>
      <w:r w:rsidRPr="00A96D48">
        <w:t xml:space="preserve"> může vyvolat nepříznivé účinky na organismy, včetně mikrořas.</w:t>
      </w:r>
      <w:sdt>
        <w:sdtPr>
          <w:rPr>
            <w:color w:val="000000"/>
            <w:vertAlign w:val="superscript"/>
          </w:rPr>
          <w:tag w:val="MENDELEY_CITATION_v3_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"/>
          <w:id w:val="169991542"/>
          <w:placeholder>
            <w:docPart w:val="DefaultPlaceholder_-1854013440"/>
          </w:placeholder>
        </w:sdtPr>
        <w:sdtContent>
          <w:r w:rsidR="009A4FA2" w:rsidRPr="009A4FA2">
            <w:rPr>
              <w:color w:val="000000"/>
              <w:vertAlign w:val="superscript"/>
            </w:rPr>
            <w:t>1</w:t>
          </w:r>
        </w:sdtContent>
      </w:sdt>
      <w:r w:rsidRPr="00A96D48">
        <w:t xml:space="preserve"> Řasy hrají ve vodních ekosystémech klíčovou roli, protože jako primární producenti jsou důležitou součástí základny potravního řetězce a jakýkoli vliv na ně může ovlivnit vyšší trofické úrovně a následně ovlivnit fungování ekosystému</w:t>
      </w:r>
      <w:r>
        <w:t xml:space="preserve">. </w:t>
      </w:r>
      <w:r w:rsidRPr="00A96D48">
        <w:t>Z tohoto důvodu se</w:t>
      </w:r>
      <w:r>
        <w:t xml:space="preserve"> různé druhy</w:t>
      </w:r>
      <w:r w:rsidRPr="00A96D48">
        <w:t xml:space="preserve"> řas často používají při posuzování rizik chemických látek</w:t>
      </w:r>
      <w:r>
        <w:t xml:space="preserve">. </w:t>
      </w:r>
      <w:r w:rsidRPr="00A96D48">
        <w:t xml:space="preserve">Kromě jejich důležité ekologické úlohy se </w:t>
      </w:r>
      <w:proofErr w:type="spellStart"/>
      <w:r w:rsidRPr="00A96D48">
        <w:t>mikrořasy</w:t>
      </w:r>
      <w:proofErr w:type="spellEnd"/>
      <w:r w:rsidRPr="00A96D48">
        <w:t xml:space="preserve"> snadno kultivují, mají krátkou generační dobu a jsou citlivé na řadu sloučenin (např. herbicidy), což z nich činí vhodné biologické nástroje při ekotoxikologickém testování znečišťujících látek</w:t>
      </w:r>
      <w:r>
        <w:t>.</w:t>
      </w:r>
      <w:sdt>
        <w:sdtPr>
          <w:rPr>
            <w:color w:val="000000"/>
            <w:vertAlign w:val="superscript"/>
          </w:rPr>
          <w:tag w:val="MENDELEY_CITATION_v3_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"/>
          <w:id w:val="517512662"/>
          <w:placeholder>
            <w:docPart w:val="DefaultPlaceholder_-1854013440"/>
          </w:placeholder>
        </w:sdtPr>
        <w:sdtContent>
          <w:r w:rsidR="009A4FA2" w:rsidRPr="009A4FA2">
            <w:rPr>
              <w:color w:val="000000"/>
              <w:vertAlign w:val="superscript"/>
            </w:rPr>
            <w:t>1</w:t>
          </w:r>
        </w:sdtContent>
      </w:sdt>
    </w:p>
    <w:p w14:paraId="1D506EC9" w14:textId="77777777" w:rsidR="009A4FA2" w:rsidRDefault="009A4FA2">
      <w:pPr>
        <w:rPr>
          <w:b/>
        </w:rPr>
      </w:pPr>
    </w:p>
    <w:p w14:paraId="03EBF7A2" w14:textId="68303AE6" w:rsidR="00CE1ED9" w:rsidRDefault="00000000">
      <w:r>
        <w:rPr>
          <w:b/>
        </w:rPr>
        <w:t>Chemikálie a pomůcky</w:t>
      </w:r>
    </w:p>
    <w:p w14:paraId="16FCC9CD" w14:textId="41B97D0C" w:rsidR="009A4FA2" w:rsidRDefault="009A4FA2" w:rsidP="00F46D92">
      <w:pPr>
        <w:numPr>
          <w:ilvl w:val="0"/>
          <w:numId w:val="2"/>
        </w:numPr>
      </w:pPr>
      <w:r>
        <w:t xml:space="preserve">řasová kultura o dostatečné hustotě buněk na </w:t>
      </w:r>
      <w:proofErr w:type="spellStart"/>
      <w:r>
        <w:t>mL</w:t>
      </w:r>
      <w:proofErr w:type="spellEnd"/>
      <w:r>
        <w:t xml:space="preserve"> kultivovaná ve standardním médiu (</w:t>
      </w:r>
      <w:proofErr w:type="gramStart"/>
      <w:r>
        <w:t>50%</w:t>
      </w:r>
      <w:proofErr w:type="gramEnd"/>
      <w:r>
        <w:t xml:space="preserve"> ZBB médium) </w:t>
      </w:r>
    </w:p>
    <w:p w14:paraId="0ECF2103" w14:textId="77777777" w:rsidR="009A4FA2" w:rsidRDefault="009A4FA2" w:rsidP="00F46D92">
      <w:pPr>
        <w:numPr>
          <w:ilvl w:val="0"/>
          <w:numId w:val="2"/>
        </w:numPr>
      </w:pPr>
      <w:proofErr w:type="gramStart"/>
      <w:r>
        <w:t>96-jamkové</w:t>
      </w:r>
      <w:proofErr w:type="gramEnd"/>
      <w:r>
        <w:t xml:space="preserve"> mikrotitrační desky (250uL/jamka), automatické pipety, špičky k pipetám, nádoby pro </w:t>
      </w:r>
      <w:proofErr w:type="spellStart"/>
      <w:r>
        <w:t>vyředění</w:t>
      </w:r>
      <w:proofErr w:type="spellEnd"/>
      <w:r>
        <w:t xml:space="preserve"> odpovídajících koncentrací testované látky</w:t>
      </w:r>
    </w:p>
    <w:p w14:paraId="331F5376" w14:textId="77777777" w:rsidR="009A4FA2" w:rsidRDefault="009A4FA2" w:rsidP="00F46D92">
      <w:pPr>
        <w:numPr>
          <w:ilvl w:val="0"/>
          <w:numId w:val="2"/>
        </w:numPr>
      </w:pPr>
      <w:r>
        <w:t xml:space="preserve">destilovaná voda, nesterilní </w:t>
      </w:r>
      <w:proofErr w:type="gramStart"/>
      <w:r>
        <w:t>200%</w:t>
      </w:r>
      <w:proofErr w:type="gramEnd"/>
      <w:r>
        <w:t xml:space="preserve"> ZBB médium </w:t>
      </w:r>
    </w:p>
    <w:p w14:paraId="05F99810" w14:textId="7B136BE6" w:rsidR="00CE1ED9" w:rsidRDefault="009A4FA2" w:rsidP="00F46D92">
      <w:pPr>
        <w:numPr>
          <w:ilvl w:val="0"/>
          <w:numId w:val="2"/>
        </w:numPr>
      </w:pPr>
      <w:r>
        <w:t>dichroman draselný – pozitivní kontrola</w:t>
      </w:r>
    </w:p>
    <w:p w14:paraId="18305A4B" w14:textId="77777777" w:rsidR="009A4FA2" w:rsidRDefault="009A4FA2"/>
    <w:p w14:paraId="6C6D0D21" w14:textId="11590438" w:rsidR="009A4FA2" w:rsidRPr="009A4FA2" w:rsidRDefault="009A4FA2">
      <w:pPr>
        <w:rPr>
          <w:b/>
          <w:bCs/>
        </w:rPr>
      </w:pPr>
      <w:r w:rsidRPr="009A4FA2">
        <w:rPr>
          <w:b/>
          <w:bCs/>
        </w:rPr>
        <w:t>Podmínky testu</w:t>
      </w:r>
    </w:p>
    <w:p w14:paraId="137A69CA" w14:textId="77777777" w:rsidR="009A4FA2" w:rsidRDefault="009A4FA2" w:rsidP="009A4FA2">
      <w:pPr>
        <w:pStyle w:val="Odstavecseseznamem"/>
        <w:numPr>
          <w:ilvl w:val="0"/>
          <w:numId w:val="7"/>
        </w:numPr>
      </w:pPr>
      <w:r>
        <w:t>doba expozice: 3 dny (</w:t>
      </w:r>
      <w:proofErr w:type="gramStart"/>
      <w:r>
        <w:t>72h</w:t>
      </w:r>
      <w:proofErr w:type="gramEnd"/>
      <w:r>
        <w:t>)</w:t>
      </w:r>
    </w:p>
    <w:p w14:paraId="53EF9DB9" w14:textId="77777777" w:rsidR="009A4FA2" w:rsidRDefault="009A4FA2" w:rsidP="009A4FA2">
      <w:pPr>
        <w:pStyle w:val="Odstavecseseznamem"/>
        <w:numPr>
          <w:ilvl w:val="0"/>
          <w:numId w:val="7"/>
        </w:numPr>
      </w:pPr>
      <w:r>
        <w:t>interval měření: založení testu, po 24, 48, 72 hodinách expozice</w:t>
      </w:r>
    </w:p>
    <w:p w14:paraId="158514E8" w14:textId="2D7FBB92" w:rsidR="009A4FA2" w:rsidRDefault="009A4FA2" w:rsidP="009A4FA2">
      <w:pPr>
        <w:pStyle w:val="Odstavecseseznamem"/>
        <w:numPr>
          <w:ilvl w:val="0"/>
          <w:numId w:val="7"/>
        </w:numPr>
      </w:pPr>
      <w:r>
        <w:t>teplota 23 ˚C</w:t>
      </w:r>
    </w:p>
    <w:p w14:paraId="515364D7" w14:textId="246A1A71" w:rsidR="00CE1ED9" w:rsidRDefault="009A4FA2" w:rsidP="009A4FA2">
      <w:pPr>
        <w:pStyle w:val="Odstavecseseznamem"/>
        <w:numPr>
          <w:ilvl w:val="0"/>
          <w:numId w:val="7"/>
        </w:numPr>
      </w:pPr>
      <w:r>
        <w:t xml:space="preserve">osvětlení 2080 </w:t>
      </w:r>
      <w:proofErr w:type="spellStart"/>
      <w:r>
        <w:t>lx</w:t>
      </w:r>
      <w:proofErr w:type="spellEnd"/>
      <w:r>
        <w:t xml:space="preserve"> (použití klasické halogenové zářivky a zářivky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Glo</w:t>
      </w:r>
      <w:proofErr w:type="spellEnd"/>
      <w:r>
        <w:t xml:space="preserve"> fialová, </w:t>
      </w:r>
      <w:proofErr w:type="gramStart"/>
      <w:r>
        <w:t>40W</w:t>
      </w:r>
      <w:proofErr w:type="gramEnd"/>
      <w:r>
        <w:t>)</w:t>
      </w:r>
    </w:p>
    <w:p w14:paraId="7572AE55" w14:textId="77777777" w:rsidR="00A63AA6" w:rsidRDefault="00A63AA6" w:rsidP="00A63AA6">
      <w:pPr>
        <w:rPr>
          <w:b/>
        </w:rPr>
      </w:pPr>
    </w:p>
    <w:p w14:paraId="75800669" w14:textId="3EC56EA0" w:rsidR="00A63AA6" w:rsidRPr="004E38FF" w:rsidRDefault="00A63AA6" w:rsidP="004E38FF">
      <w:pPr>
        <w:rPr>
          <w:b/>
        </w:rPr>
      </w:pPr>
      <w:r>
        <w:rPr>
          <w:b/>
        </w:rPr>
        <w:t>Postup</w:t>
      </w:r>
    </w:p>
    <w:p w14:paraId="0A038071" w14:textId="77777777" w:rsidR="00A11B89" w:rsidRDefault="00A11B89" w:rsidP="00A63AA6">
      <w:pPr>
        <w:numPr>
          <w:ilvl w:val="0"/>
          <w:numId w:val="1"/>
        </w:numPr>
      </w:pPr>
      <w:r>
        <w:t>1) bylo nachystáno správně naředěné inokulum řas v </w:t>
      </w:r>
      <w:proofErr w:type="gramStart"/>
      <w:r>
        <w:t>50%</w:t>
      </w:r>
      <w:proofErr w:type="gramEnd"/>
      <w:r>
        <w:t xml:space="preserve"> ZBB médiu</w:t>
      </w:r>
    </w:p>
    <w:p w14:paraId="54CF0C42" w14:textId="77777777" w:rsidR="00A11B89" w:rsidRDefault="00A11B89" w:rsidP="00A63AA6">
      <w:pPr>
        <w:numPr>
          <w:ilvl w:val="0"/>
          <w:numId w:val="1"/>
        </w:numPr>
      </w:pPr>
      <w:r>
        <w:t xml:space="preserve">2) inokulum řas bylo </w:t>
      </w:r>
      <w:proofErr w:type="spellStart"/>
      <w:r>
        <w:t>napipetováno</w:t>
      </w:r>
      <w:proofErr w:type="spellEnd"/>
      <w:r>
        <w:t xml:space="preserve"> po 125 µL do každé testované jamky</w:t>
      </w:r>
    </w:p>
    <w:p w14:paraId="68A8B3F7" w14:textId="2D2EF4E7" w:rsidR="00A11B89" w:rsidRDefault="00A11B89" w:rsidP="00A63AA6">
      <w:pPr>
        <w:numPr>
          <w:ilvl w:val="0"/>
          <w:numId w:val="1"/>
        </w:numPr>
      </w:pPr>
      <w:r>
        <w:t xml:space="preserve">3) podle </w:t>
      </w:r>
      <w:proofErr w:type="spellStart"/>
      <w:r>
        <w:t>pipetovacího</w:t>
      </w:r>
      <w:proofErr w:type="spellEnd"/>
      <w:r>
        <w:t xml:space="preserve"> schématu byla každá jamka doplněna vzorkem zředěným v </w:t>
      </w:r>
      <w:proofErr w:type="gramStart"/>
      <w:r>
        <w:t>50%</w:t>
      </w:r>
      <w:proofErr w:type="gramEnd"/>
      <w:r>
        <w:t xml:space="preserve"> médiu v objemu 125 µL</w:t>
      </w:r>
    </w:p>
    <w:p w14:paraId="3AB0ABB3" w14:textId="52D7C7C8" w:rsidR="004E38FF" w:rsidRDefault="004E38FF" w:rsidP="00A63AA6">
      <w:pPr>
        <w:numPr>
          <w:ilvl w:val="0"/>
          <w:numId w:val="1"/>
        </w:numPr>
      </w:pPr>
      <w:r>
        <w:t xml:space="preserve">4) destička řas byla měřena při absorbanci 680 </w:t>
      </w:r>
      <w:proofErr w:type="spellStart"/>
      <w:r>
        <w:t>nm</w:t>
      </w:r>
      <w:proofErr w:type="spellEnd"/>
      <w:r>
        <w:t xml:space="preserve"> v den založení experimentu, 24 h, 48 h a 72 h po založení</w:t>
      </w:r>
    </w:p>
    <w:p w14:paraId="279D9DE5" w14:textId="0BD998B7" w:rsidR="004E38FF" w:rsidRDefault="004E38FF" w:rsidP="004E38FF">
      <w:pPr>
        <w:numPr>
          <w:ilvl w:val="0"/>
          <w:numId w:val="1"/>
        </w:numPr>
        <w:ind w:right="-185"/>
      </w:pPr>
      <w:r>
        <w:t xml:space="preserve">5) naměřené hodnoty byly vyhodnoceny v programech MS Excel a </w:t>
      </w:r>
      <w:proofErr w:type="spellStart"/>
      <w:r>
        <w:t>GraphPad</w:t>
      </w:r>
      <w:proofErr w:type="spellEnd"/>
      <w:r>
        <w:t xml:space="preserve"> </w:t>
      </w:r>
      <w:proofErr w:type="spellStart"/>
      <w:r>
        <w:t>Prism</w:t>
      </w:r>
      <w:proofErr w:type="spellEnd"/>
      <w:r>
        <w:t xml:space="preserve"> 5</w:t>
      </w:r>
    </w:p>
    <w:p w14:paraId="63C0C5D7" w14:textId="77777777" w:rsidR="00A63AA6" w:rsidRDefault="00A63AA6"/>
    <w:p w14:paraId="34B9ABB0" w14:textId="38EAFAEC" w:rsidR="00CE1ED9" w:rsidRDefault="00000000">
      <w:pPr>
        <w:rPr>
          <w:b/>
        </w:rPr>
      </w:pPr>
      <w:r>
        <w:rPr>
          <w:b/>
        </w:rPr>
        <w:lastRenderedPageBreak/>
        <w:t>Výsledky</w:t>
      </w:r>
    </w:p>
    <w:p w14:paraId="17AC07FF" w14:textId="50623354" w:rsidR="002377E3" w:rsidRPr="002377E3" w:rsidRDefault="002377E3">
      <w:pPr>
        <w:rPr>
          <w:bCs/>
        </w:rPr>
      </w:pPr>
      <w:r>
        <w:rPr>
          <w:bCs/>
        </w:rPr>
        <w:t xml:space="preserve">Vygenerovaná hodnota EC20 pro </w:t>
      </w:r>
      <w:proofErr w:type="spellStart"/>
      <w:r>
        <w:rPr>
          <w:bCs/>
        </w:rPr>
        <w:t>diuron</w:t>
      </w:r>
      <w:proofErr w:type="spellEnd"/>
      <w:r>
        <w:rPr>
          <w:bCs/>
        </w:rPr>
        <w:t xml:space="preserve"> byla 97,9 </w:t>
      </w:r>
      <w:r w:rsidR="003D3E66">
        <w:rPr>
          <w:bCs/>
        </w:rPr>
        <w:t>µ</w:t>
      </w:r>
      <w:r w:rsidRPr="002377E3">
        <w:rPr>
          <w:bCs/>
        </w:rPr>
        <w:t>g/L</w:t>
      </w:r>
      <w:r>
        <w:rPr>
          <w:bCs/>
        </w:rPr>
        <w:t xml:space="preserve">, EC50 180 </w:t>
      </w:r>
      <w:r w:rsidR="003D3E66">
        <w:rPr>
          <w:bCs/>
        </w:rPr>
        <w:t>µ</w:t>
      </w:r>
      <w:r w:rsidRPr="002377E3">
        <w:rPr>
          <w:bCs/>
        </w:rPr>
        <w:t>g/L</w:t>
      </w:r>
      <w:r w:rsidR="00A062EB">
        <w:rPr>
          <w:bCs/>
        </w:rPr>
        <w:t>. Pro dichroman draselný byla hodnota EC20</w:t>
      </w:r>
      <w:r w:rsidR="00210576">
        <w:rPr>
          <w:bCs/>
        </w:rPr>
        <w:t xml:space="preserve"> 274 </w:t>
      </w:r>
      <w:r w:rsidR="003D3E66">
        <w:rPr>
          <w:bCs/>
        </w:rPr>
        <w:t>µ</w:t>
      </w:r>
      <w:r w:rsidR="00210576" w:rsidRPr="002377E3">
        <w:rPr>
          <w:bCs/>
        </w:rPr>
        <w:t>g/L</w:t>
      </w:r>
      <w:r w:rsidR="00210576">
        <w:rPr>
          <w:bCs/>
        </w:rPr>
        <w:t xml:space="preserve"> a EC50 181 </w:t>
      </w:r>
      <w:r w:rsidR="003D3E66">
        <w:rPr>
          <w:bCs/>
        </w:rPr>
        <w:t>µ</w:t>
      </w:r>
      <w:r w:rsidR="00210576" w:rsidRPr="002377E3">
        <w:rPr>
          <w:bCs/>
        </w:rPr>
        <w:t>g/L</w:t>
      </w:r>
      <w:r w:rsidR="00210576">
        <w:rPr>
          <w:bCs/>
        </w:rPr>
        <w:t xml:space="preserve">, což nedává smysl, důvod této chyby je zatím předmětem bádání. Výsledky jsou shrnuty v Tabulce 1, grafické zobrazení znázorňují Graf 1 a 2 a Obrázky 1 a 2. </w:t>
      </w:r>
    </w:p>
    <w:p w14:paraId="51FC4B24" w14:textId="0A1C2AC0" w:rsidR="00CE1ED9" w:rsidRDefault="00000000">
      <w:pPr>
        <w:rPr>
          <w:i/>
        </w:rPr>
      </w:pPr>
      <w:r>
        <w:rPr>
          <w:i/>
        </w:rPr>
        <w:t xml:space="preserve">Tabulka 1: </w:t>
      </w:r>
      <w:r w:rsidR="00D40CAA">
        <w:rPr>
          <w:i/>
        </w:rPr>
        <w:t xml:space="preserve">Výsledné hodnoty pro </w:t>
      </w:r>
      <w:r w:rsidR="00474622">
        <w:rPr>
          <w:i/>
        </w:rPr>
        <w:t>inhibici růstové rychlosti</w:t>
      </w:r>
      <w:r w:rsidR="004E38FF">
        <w:rPr>
          <w:i/>
        </w:rPr>
        <w:t xml:space="preserve"> po 24 h, 48 h a 72 h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789"/>
        <w:gridCol w:w="788"/>
        <w:gridCol w:w="641"/>
        <w:gridCol w:w="720"/>
        <w:gridCol w:w="789"/>
        <w:gridCol w:w="850"/>
        <w:gridCol w:w="993"/>
        <w:gridCol w:w="708"/>
        <w:gridCol w:w="907"/>
        <w:gridCol w:w="653"/>
      </w:tblGrid>
      <w:tr w:rsidR="004E38FF" w:rsidRPr="004E38FF" w14:paraId="65B84920" w14:textId="77777777" w:rsidTr="004E38FF">
        <w:trPr>
          <w:trHeight w:val="297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1665944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GRI</w:t>
            </w:r>
          </w:p>
        </w:tc>
        <w:tc>
          <w:tcPr>
            <w:tcW w:w="783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E7B27F2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/>
              </w:rPr>
            </w:pPr>
            <w:proofErr w:type="spellStart"/>
            <w:r w:rsidRPr="004E38FF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/>
              </w:rPr>
              <w:t>Diuron</w:t>
            </w:r>
            <w:proofErr w:type="spellEnd"/>
            <w:r w:rsidRPr="004E38FF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/>
              </w:rPr>
              <w:t xml:space="preserve"> [</w:t>
            </w:r>
            <w:proofErr w:type="spellStart"/>
            <w:r w:rsidRPr="004E38FF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/>
              </w:rPr>
              <w:t>ug</w:t>
            </w:r>
            <w:proofErr w:type="spellEnd"/>
            <w:r w:rsidRPr="004E38FF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/>
              </w:rPr>
              <w:t>/L]</w:t>
            </w:r>
          </w:p>
        </w:tc>
      </w:tr>
      <w:tr w:rsidR="004E38FF" w:rsidRPr="004E38FF" w14:paraId="23EF44AF" w14:textId="77777777" w:rsidTr="004E38FF">
        <w:trPr>
          <w:trHeight w:val="2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DA509A" w14:textId="77777777" w:rsidR="004E38FF" w:rsidRPr="004E38FF" w:rsidRDefault="004E38FF" w:rsidP="004E38FF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530713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c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49A8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2,47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7F47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7,40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D169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22,2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847B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4CA1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B6B2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AE52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4998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500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22D6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1000</w:t>
            </w:r>
          </w:p>
        </w:tc>
      </w:tr>
      <w:tr w:rsidR="004E38FF" w:rsidRPr="004E38FF" w14:paraId="042F4333" w14:textId="77777777" w:rsidTr="004E38FF">
        <w:trPr>
          <w:trHeight w:val="272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2AB85B" w14:textId="77777777" w:rsidR="004E38FF" w:rsidRPr="004E38FF" w:rsidRDefault="004E38FF" w:rsidP="004E38FF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EF392C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log 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13D14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0,393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0F7EA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0,869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3A912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1,35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9E1F2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DC28D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D7990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2,10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D30B9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2,40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317E1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2,70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E814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3,00</w:t>
            </w:r>
          </w:p>
        </w:tc>
      </w:tr>
      <w:tr w:rsidR="004E38FF" w:rsidRPr="004E38FF" w14:paraId="55B3A6D2" w14:textId="77777777" w:rsidTr="004E38FF">
        <w:trPr>
          <w:trHeight w:val="310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3E772C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proofErr w:type="gramStart"/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24h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A51B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AVG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4C0D9A5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56A6ACF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16,9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E902ED6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25,2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C61A4F4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61,6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901FCFC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C5308F1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91,5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88AE4A3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67,4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37207F2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22,9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A7BABC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90,9</w:t>
            </w:r>
          </w:p>
        </w:tc>
      </w:tr>
      <w:tr w:rsidR="004E38FF" w:rsidRPr="004E38FF" w14:paraId="3D834C9D" w14:textId="77777777" w:rsidTr="004E38FF">
        <w:trPr>
          <w:trHeight w:val="297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F1D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C9CB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SD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5DEB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0,381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CCCC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5,14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9270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7,90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B4D7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7,06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9A5B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1,52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97BB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8,63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D8BF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3,96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DBF1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4,50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B478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12,8</w:t>
            </w:r>
          </w:p>
        </w:tc>
      </w:tr>
      <w:tr w:rsidR="004E38FF" w:rsidRPr="004E38FF" w14:paraId="39AF2D3F" w14:textId="77777777" w:rsidTr="004E38FF">
        <w:trPr>
          <w:trHeight w:val="297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1F07F6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proofErr w:type="gramStart"/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48h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BE8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AVG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3AFB0B7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61B49BB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6,84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FE837F8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18,3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AB7DEEF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AF07FB7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83,0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7608A49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83,5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DA607A2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56,8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57FA817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31,9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607D2E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46,7</w:t>
            </w:r>
          </w:p>
        </w:tc>
      </w:tr>
      <w:tr w:rsidR="004E38FF" w:rsidRPr="004E38FF" w14:paraId="02E0B4ED" w14:textId="77777777" w:rsidTr="004E38FF">
        <w:trPr>
          <w:trHeight w:val="297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9412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2345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SD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F8C3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4,41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43DC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5,76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FB82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4,33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0A1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1,47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AF05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4,89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24F1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5,04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E806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3,92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0A0A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1600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5,58</w:t>
            </w:r>
          </w:p>
        </w:tc>
      </w:tr>
      <w:tr w:rsidR="004E38FF" w:rsidRPr="004E38FF" w14:paraId="4C4FBE81" w14:textId="77777777" w:rsidTr="004E38FF">
        <w:trPr>
          <w:trHeight w:val="297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89A10C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proofErr w:type="gramStart"/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72h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FEA3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AVG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67C8350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-33,3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1C63B14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-27,6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CD5684E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-15,3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20F55ED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160138E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57,4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DDAF9BD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76,9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4ABBF9F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29,0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BE30942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3,23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E7024B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b/>
                <w:bCs/>
                <w:sz w:val="20"/>
                <w:szCs w:val="20"/>
                <w:lang w:val="cs-CZ"/>
              </w:rPr>
              <w:t>-6,19</w:t>
            </w:r>
          </w:p>
        </w:tc>
      </w:tr>
      <w:tr w:rsidR="004E38FF" w:rsidRPr="004E38FF" w14:paraId="1F280E2C" w14:textId="77777777" w:rsidTr="004E38FF">
        <w:trPr>
          <w:trHeight w:val="29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C2ABD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06043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SD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9CEBE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2,72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D3825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3,60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FDD93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3,79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42D16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0,969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29949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F3567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1,01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06684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4,07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9B556" w14:textId="26B64111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NA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86DA" w14:textId="77777777" w:rsidR="004E38FF" w:rsidRPr="004E38FF" w:rsidRDefault="004E38FF" w:rsidP="004E38F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4E38FF">
              <w:rPr>
                <w:rFonts w:eastAsia="Times New Roman"/>
                <w:sz w:val="20"/>
                <w:szCs w:val="20"/>
                <w:lang w:val="cs-CZ"/>
              </w:rPr>
              <w:t>2,79</w:t>
            </w:r>
          </w:p>
        </w:tc>
      </w:tr>
    </w:tbl>
    <w:p w14:paraId="3BEAE405" w14:textId="4DA1E710" w:rsidR="00CE1ED9" w:rsidRDefault="00CE1ED9"/>
    <w:p w14:paraId="23DC50D6" w14:textId="5B4134CC" w:rsidR="00003032" w:rsidRDefault="00003032">
      <w:pPr>
        <w:rPr>
          <w:i/>
        </w:rPr>
      </w:pPr>
      <w:r>
        <w:rPr>
          <w:noProof/>
        </w:rPr>
        <w:drawing>
          <wp:inline distT="0" distB="0" distL="0" distR="0" wp14:anchorId="6F934D40" wp14:editId="59BD97D3">
            <wp:extent cx="6035040" cy="2720975"/>
            <wp:effectExtent l="0" t="0" r="3810" b="3175"/>
            <wp:docPr id="1117787968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199FF793-D992-4BA7-BAC2-143C82960D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3A6A95" w14:textId="18F5AC36" w:rsidR="00CE1ED9" w:rsidRDefault="00000000">
      <w:pPr>
        <w:rPr>
          <w:i/>
        </w:rPr>
      </w:pPr>
      <w:r>
        <w:rPr>
          <w:i/>
        </w:rPr>
        <w:t xml:space="preserve">Graf 1: </w:t>
      </w:r>
      <w:r w:rsidR="00474622">
        <w:rPr>
          <w:i/>
        </w:rPr>
        <w:t xml:space="preserve">Inhibice růstové rychlosti pro </w:t>
      </w:r>
      <w:proofErr w:type="spellStart"/>
      <w:r w:rsidR="006C616E">
        <w:rPr>
          <w:i/>
        </w:rPr>
        <w:t>diuron</w:t>
      </w:r>
      <w:proofErr w:type="spellEnd"/>
      <w:r w:rsidR="006C616E">
        <w:rPr>
          <w:i/>
        </w:rPr>
        <w:t xml:space="preserve"> po </w:t>
      </w:r>
      <w:r w:rsidR="00474622">
        <w:rPr>
          <w:i/>
        </w:rPr>
        <w:t>24 h, 48 h a 72 h</w:t>
      </w:r>
    </w:p>
    <w:p w14:paraId="32CA2BC2" w14:textId="77777777" w:rsidR="00003032" w:rsidRDefault="00003032">
      <w:pPr>
        <w:rPr>
          <w:i/>
        </w:rPr>
      </w:pPr>
    </w:p>
    <w:p w14:paraId="440BD122" w14:textId="05D494CB" w:rsidR="00003032" w:rsidRDefault="00A11B89">
      <w:pPr>
        <w:rPr>
          <w:i/>
        </w:rPr>
      </w:pPr>
      <w:r>
        <w:rPr>
          <w:noProof/>
        </w:rPr>
        <w:drawing>
          <wp:inline distT="0" distB="0" distL="0" distR="0" wp14:anchorId="475CE6D1" wp14:editId="597654EA">
            <wp:extent cx="6050280" cy="2720975"/>
            <wp:effectExtent l="0" t="0" r="7620" b="3175"/>
            <wp:docPr id="141661291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21556EED-4B2A-4228-8AA5-C83C80F073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B44952" w14:textId="6EEB0D8A" w:rsidR="00003032" w:rsidRDefault="00003032" w:rsidP="00003032">
      <w:pPr>
        <w:rPr>
          <w:i/>
        </w:rPr>
      </w:pPr>
      <w:r>
        <w:rPr>
          <w:i/>
        </w:rPr>
        <w:t xml:space="preserve">Graf 2: Inhibice růstové rychlosti </w:t>
      </w:r>
      <w:commentRangeStart w:id="0"/>
      <w:r>
        <w:rPr>
          <w:i/>
        </w:rPr>
        <w:t>pro dichroman draselný po 24 h, 48 h a 72 h</w:t>
      </w:r>
      <w:commentRangeEnd w:id="0"/>
      <w:r w:rsidR="00D21221">
        <w:rPr>
          <w:rStyle w:val="Odkaznakoment"/>
        </w:rPr>
        <w:commentReference w:id="0"/>
      </w:r>
    </w:p>
    <w:p w14:paraId="677DAF20" w14:textId="77777777" w:rsidR="00003032" w:rsidRDefault="00003032">
      <w:pPr>
        <w:rPr>
          <w:i/>
        </w:rPr>
      </w:pPr>
    </w:p>
    <w:p w14:paraId="73E7C96E" w14:textId="78871C14" w:rsidR="00C21952" w:rsidRDefault="00C21952">
      <w:pPr>
        <w:rPr>
          <w:i/>
        </w:rPr>
      </w:pPr>
      <w:r>
        <w:rPr>
          <w:i/>
          <w:noProof/>
        </w:rPr>
        <w:lastRenderedPageBreak/>
        <w:drawing>
          <wp:inline distT="0" distB="0" distL="0" distR="0" wp14:anchorId="73A06A85" wp14:editId="0169E743">
            <wp:extent cx="4594860" cy="2674620"/>
            <wp:effectExtent l="0" t="0" r="0" b="0"/>
            <wp:docPr id="105602618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7BD02" w14:textId="724D1450" w:rsidR="00CE1ED9" w:rsidRDefault="00C21952">
      <w:pPr>
        <w:rPr>
          <w:i/>
        </w:rPr>
      </w:pPr>
      <w:bookmarkStart w:id="1" w:name="OLE_LINK1"/>
      <w:r>
        <w:rPr>
          <w:i/>
        </w:rPr>
        <w:t xml:space="preserve">Obrázek 1: </w:t>
      </w:r>
      <w:r w:rsidRPr="00C21952">
        <w:rPr>
          <w:i/>
        </w:rPr>
        <w:t xml:space="preserve">Inhibice růstové rychlosti </w:t>
      </w:r>
      <w:proofErr w:type="spellStart"/>
      <w:r w:rsidRPr="00C21952">
        <w:rPr>
          <w:i/>
        </w:rPr>
        <w:t>diuronu</w:t>
      </w:r>
      <w:proofErr w:type="spellEnd"/>
      <w:r w:rsidRPr="00C21952">
        <w:rPr>
          <w:i/>
        </w:rPr>
        <w:t xml:space="preserve"> po </w:t>
      </w:r>
      <w:proofErr w:type="gramStart"/>
      <w:r w:rsidRPr="00C21952">
        <w:rPr>
          <w:i/>
        </w:rPr>
        <w:t>72h</w:t>
      </w:r>
      <w:proofErr w:type="gramEnd"/>
    </w:p>
    <w:bookmarkEnd w:id="1"/>
    <w:p w14:paraId="7ABAB842" w14:textId="77777777" w:rsidR="00CE1ED9" w:rsidRDefault="00CE1ED9">
      <w:pPr>
        <w:rPr>
          <w:i/>
        </w:rPr>
      </w:pPr>
    </w:p>
    <w:p w14:paraId="458FC5F6" w14:textId="346C2738" w:rsidR="00AF1784" w:rsidRDefault="00AF1784">
      <w:pPr>
        <w:rPr>
          <w:i/>
        </w:rPr>
      </w:pPr>
      <w:r>
        <w:rPr>
          <w:i/>
          <w:noProof/>
        </w:rPr>
        <w:drawing>
          <wp:inline distT="0" distB="0" distL="0" distR="0" wp14:anchorId="0E6F8871" wp14:editId="02168154">
            <wp:extent cx="5189220" cy="2598420"/>
            <wp:effectExtent l="0" t="0" r="0" b="0"/>
            <wp:docPr id="12076260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BFE96" w14:textId="430AEB13" w:rsidR="00AF1784" w:rsidRDefault="00AF1784">
      <w:pPr>
        <w:rPr>
          <w:i/>
        </w:rPr>
      </w:pPr>
      <w:r>
        <w:rPr>
          <w:i/>
        </w:rPr>
        <w:t xml:space="preserve">Obrázek 2: </w:t>
      </w:r>
      <w:r w:rsidRPr="00C21952">
        <w:rPr>
          <w:i/>
        </w:rPr>
        <w:t>Inhibice růstové rychlosti di</w:t>
      </w:r>
      <w:r>
        <w:rPr>
          <w:i/>
        </w:rPr>
        <w:t>chromanu draselného</w:t>
      </w:r>
      <w:r w:rsidRPr="00C21952">
        <w:rPr>
          <w:i/>
        </w:rPr>
        <w:t xml:space="preserve"> po </w:t>
      </w:r>
      <w:proofErr w:type="gramStart"/>
      <w:r w:rsidRPr="00C21952">
        <w:rPr>
          <w:i/>
        </w:rPr>
        <w:t>72h</w:t>
      </w:r>
      <w:proofErr w:type="gramEnd"/>
    </w:p>
    <w:p w14:paraId="683BC791" w14:textId="77777777" w:rsidR="00CE1ED9" w:rsidRDefault="00CE1ED9">
      <w:pPr>
        <w:rPr>
          <w:b/>
        </w:rPr>
      </w:pPr>
    </w:p>
    <w:p w14:paraId="5863EECD" w14:textId="77777777" w:rsidR="00CE1ED9" w:rsidRDefault="00000000">
      <w:pPr>
        <w:rPr>
          <w:b/>
        </w:rPr>
      </w:pPr>
      <w:proofErr w:type="gramStart"/>
      <w:r>
        <w:rPr>
          <w:b/>
        </w:rPr>
        <w:t>Diskuze</w:t>
      </w:r>
      <w:proofErr w:type="gramEnd"/>
      <w:r>
        <w:rPr>
          <w:b/>
        </w:rPr>
        <w:t xml:space="preserve"> a závěr</w:t>
      </w:r>
    </w:p>
    <w:p w14:paraId="4E8A9D2A" w14:textId="77777777" w:rsidR="003D3E66" w:rsidRDefault="00210576" w:rsidP="00A742CE">
      <w:r w:rsidRPr="00210576">
        <w:t>Negativní/</w:t>
      </w:r>
      <w:proofErr w:type="spellStart"/>
      <w:r w:rsidRPr="00210576">
        <w:t>solvent</w:t>
      </w:r>
      <w:proofErr w:type="spellEnd"/>
      <w:r w:rsidRPr="00210576">
        <w:t xml:space="preserve"> kontrola vychá</w:t>
      </w:r>
      <w:r>
        <w:t>zela</w:t>
      </w:r>
      <w:r w:rsidRPr="00210576">
        <w:t xml:space="preserve"> </w:t>
      </w:r>
      <w:r w:rsidR="003D3E66">
        <w:t xml:space="preserve">v nepředpokládaných hodnotách, další počítání s ní nebylo možné. Proto byla </w:t>
      </w:r>
      <w:r w:rsidR="003D3E66" w:rsidRPr="003D3E66">
        <w:t>inhibici počí</w:t>
      </w:r>
      <w:r w:rsidR="003D3E66">
        <w:t>tána</w:t>
      </w:r>
      <w:r w:rsidR="003D3E66" w:rsidRPr="003D3E66">
        <w:t xml:space="preserve"> vůči nejnižší koncentraci </w:t>
      </w:r>
      <w:proofErr w:type="spellStart"/>
      <w:r w:rsidR="003D3E66" w:rsidRPr="003D3E66">
        <w:t>diuonu</w:t>
      </w:r>
      <w:proofErr w:type="spellEnd"/>
      <w:r w:rsidR="003D3E66">
        <w:t xml:space="preserve">, což zkresluje očekávatelné výsledky. Zajímavé je, že EC20 u </w:t>
      </w:r>
      <w:r w:rsidR="003D3E66">
        <w:rPr>
          <w:bCs/>
        </w:rPr>
        <w:t>dichromanu draselného vychází vyšší než EC50. Pravděpodobně se jedná o chybně zvolený graf v </w:t>
      </w:r>
      <w:proofErr w:type="spellStart"/>
      <w:r w:rsidR="003D3E66">
        <w:rPr>
          <w:bCs/>
        </w:rPr>
        <w:t>GraphPadu</w:t>
      </w:r>
      <w:proofErr w:type="spellEnd"/>
      <w:r w:rsidR="003D3E66">
        <w:rPr>
          <w:bCs/>
        </w:rPr>
        <w:t xml:space="preserve"> nebo v průběhu měření vznikla jiná chyba. </w:t>
      </w:r>
    </w:p>
    <w:p w14:paraId="7013CCD1" w14:textId="09C46606" w:rsidR="00A742CE" w:rsidRDefault="00A742CE" w:rsidP="003D3E66">
      <w:pPr>
        <w:ind w:firstLine="720"/>
      </w:pPr>
      <w:r>
        <w:t>Zkouška se považuje za platnou, pokud se EC50 způsobena referenčním roztokem</w:t>
      </w:r>
    </w:p>
    <w:p w14:paraId="0CCD023F" w14:textId="45BB053C" w:rsidR="00CE1ED9" w:rsidRDefault="00A742CE" w:rsidP="00A742CE">
      <w:r>
        <w:t xml:space="preserve">(dichroman </w:t>
      </w:r>
      <w:r w:rsidR="003D3E66">
        <w:t>draselný – pozitivní</w:t>
      </w:r>
      <w:r>
        <w:t xml:space="preserve"> kontrola) pohybuje v rozmezí 0.8-1.2 mg/L. Naměřená hodnota EC50 byla </w:t>
      </w:r>
      <w:r w:rsidR="003D3E66">
        <w:t>0,181 mg/L</w:t>
      </w:r>
      <w:r>
        <w:t>, zkouška se proto ne</w:t>
      </w:r>
      <w:r w:rsidR="003D3E66">
        <w:t>může</w:t>
      </w:r>
      <w:r>
        <w:t xml:space="preserve"> prohlásit za platnou. </w:t>
      </w:r>
    </w:p>
    <w:p w14:paraId="2FDBE136" w14:textId="77777777" w:rsidR="00CE1ED9" w:rsidRDefault="00CE1ED9"/>
    <w:p w14:paraId="215BA28B" w14:textId="77777777" w:rsidR="00CE1ED9" w:rsidRDefault="00CE1ED9"/>
    <w:p w14:paraId="537784BD" w14:textId="77777777" w:rsidR="00CE1ED9" w:rsidRDefault="00000000">
      <w:pPr>
        <w:rPr>
          <w:b/>
        </w:rPr>
      </w:pPr>
      <w:r>
        <w:rPr>
          <w:b/>
        </w:rPr>
        <w:t>Použitá literatura</w:t>
      </w:r>
    </w:p>
    <w:sdt>
      <w:sdtPr>
        <w:tag w:val="MENDELEY_BIBLIOGRAPHY"/>
        <w:id w:val="1313904353"/>
        <w:placeholder>
          <w:docPart w:val="DefaultPlaceholder_-1854013440"/>
        </w:placeholder>
      </w:sdtPr>
      <w:sdtContent>
        <w:p w14:paraId="0BB22E44" w14:textId="77777777" w:rsidR="0083046B" w:rsidRDefault="0083046B">
          <w:pPr>
            <w:autoSpaceDE w:val="0"/>
            <w:autoSpaceDN w:val="0"/>
            <w:ind w:hanging="640"/>
            <w:divId w:val="389765813"/>
            <w:rPr>
              <w:rFonts w:eastAsia="Times New Roman"/>
              <w:sz w:val="24"/>
              <w:szCs w:val="24"/>
            </w:rPr>
          </w:pPr>
          <w:r>
            <w:rPr>
              <w:rFonts w:eastAsia="Times New Roman"/>
            </w:rPr>
            <w:t>1.</w:t>
          </w:r>
          <w:r>
            <w:rPr>
              <w:rFonts w:eastAsia="Times New Roman"/>
            </w:rPr>
            <w:tab/>
          </w:r>
          <w:proofErr w:type="spellStart"/>
          <w:r>
            <w:rPr>
              <w:rFonts w:eastAsia="Times New Roman"/>
            </w:rPr>
            <w:t>Adrislaine</w:t>
          </w:r>
          <w:proofErr w:type="spellEnd"/>
          <w:r>
            <w:rPr>
              <w:rFonts w:eastAsia="Times New Roman"/>
            </w:rPr>
            <w:t xml:space="preserve"> S. </w:t>
          </w:r>
          <w:proofErr w:type="spellStart"/>
          <w:r>
            <w:rPr>
              <w:rFonts w:eastAsia="Times New Roman"/>
            </w:rPr>
            <w:t>Mansano</w:t>
          </w:r>
          <w:proofErr w:type="spellEnd"/>
          <w:r>
            <w:rPr>
              <w:rFonts w:eastAsia="Times New Roman"/>
            </w:rPr>
            <w:t xml:space="preserve">, R. A. M. H. C. D. E. C. F. E. M. V. H. S. O. R. M. H. R. S. </w:t>
          </w:r>
          <w:proofErr w:type="spellStart"/>
          <w:r>
            <w:rPr>
              <w:rFonts w:eastAsia="Times New Roman"/>
            </w:rPr>
            <w:t>Effects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of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diuron</w:t>
          </w:r>
          <w:proofErr w:type="spellEnd"/>
          <w:r>
            <w:rPr>
              <w:rFonts w:eastAsia="Times New Roman"/>
            </w:rPr>
            <w:t xml:space="preserve"> and </w:t>
          </w:r>
          <w:proofErr w:type="spellStart"/>
          <w:r>
            <w:rPr>
              <w:rFonts w:eastAsia="Times New Roman"/>
            </w:rPr>
            <w:t>carbofuran</w:t>
          </w:r>
          <w:proofErr w:type="spellEnd"/>
          <w:r>
            <w:rPr>
              <w:rFonts w:eastAsia="Times New Roman"/>
            </w:rPr>
            <w:t xml:space="preserve"> and </w:t>
          </w:r>
          <w:proofErr w:type="spellStart"/>
          <w:r>
            <w:rPr>
              <w:rFonts w:eastAsia="Times New Roman"/>
            </w:rPr>
            <w:t>their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mixtures</w:t>
          </w:r>
          <w:proofErr w:type="spellEnd"/>
          <w:r>
            <w:rPr>
              <w:rFonts w:eastAsia="Times New Roman"/>
            </w:rPr>
            <w:t xml:space="preserve"> on </w:t>
          </w:r>
          <w:proofErr w:type="spellStart"/>
          <w:r>
            <w:rPr>
              <w:rFonts w:eastAsia="Times New Roman"/>
            </w:rPr>
            <w:t>the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microalgae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Raphidocelis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subcapitata</w:t>
          </w:r>
          <w:proofErr w:type="spellEnd"/>
          <w:r>
            <w:rPr>
              <w:rFonts w:eastAsia="Times New Roman"/>
            </w:rPr>
            <w:t xml:space="preserve">. </w:t>
          </w:r>
          <w:proofErr w:type="spellStart"/>
          <w:r>
            <w:rPr>
              <w:rFonts w:eastAsia="Times New Roman"/>
              <w:i/>
              <w:iCs/>
            </w:rPr>
            <w:t>Ecotoxicol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Environ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Saf</w:t>
          </w:r>
          <w:proofErr w:type="spellEnd"/>
          <w:r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142</w:t>
          </w:r>
          <w:r>
            <w:rPr>
              <w:rFonts w:eastAsia="Times New Roman"/>
            </w:rPr>
            <w:t>, 312–321 (2017).</w:t>
          </w:r>
        </w:p>
        <w:p w14:paraId="4DA59289" w14:textId="77777777" w:rsidR="0083046B" w:rsidRDefault="0083046B">
          <w:pPr>
            <w:autoSpaceDE w:val="0"/>
            <w:autoSpaceDN w:val="0"/>
            <w:ind w:hanging="640"/>
            <w:divId w:val="2101218577"/>
            <w:rPr>
              <w:rFonts w:eastAsia="Times New Roman"/>
            </w:rPr>
          </w:pPr>
          <w:r>
            <w:rPr>
              <w:rFonts w:eastAsia="Times New Roman"/>
            </w:rPr>
            <w:t>2.</w:t>
          </w:r>
          <w:r>
            <w:rPr>
              <w:rFonts w:eastAsia="Times New Roman"/>
            </w:rPr>
            <w:tab/>
            <w:t xml:space="preserve">S </w:t>
          </w:r>
          <w:proofErr w:type="spellStart"/>
          <w:r>
            <w:rPr>
              <w:rFonts w:eastAsia="Times New Roman"/>
            </w:rPr>
            <w:t>Giacomazzi</w:t>
          </w:r>
          <w:proofErr w:type="spellEnd"/>
          <w:r>
            <w:rPr>
              <w:rFonts w:eastAsia="Times New Roman"/>
            </w:rPr>
            <w:t xml:space="preserve">, N. C. </w:t>
          </w:r>
          <w:proofErr w:type="spellStart"/>
          <w:r>
            <w:rPr>
              <w:rFonts w:eastAsia="Times New Roman"/>
            </w:rPr>
            <w:t>Environmental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impact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of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diuron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transformation</w:t>
          </w:r>
          <w:proofErr w:type="spellEnd"/>
          <w:r>
            <w:rPr>
              <w:rFonts w:eastAsia="Times New Roman"/>
            </w:rPr>
            <w:t xml:space="preserve">: a </w:t>
          </w:r>
          <w:proofErr w:type="spellStart"/>
          <w:r>
            <w:rPr>
              <w:rFonts w:eastAsia="Times New Roman"/>
            </w:rPr>
            <w:t>review</w:t>
          </w:r>
          <w:proofErr w:type="spellEnd"/>
          <w:r>
            <w:rPr>
              <w:rFonts w:eastAsia="Times New Roman"/>
            </w:rPr>
            <w:t xml:space="preserve">. </w:t>
          </w:r>
          <w:proofErr w:type="spellStart"/>
          <w:r>
            <w:rPr>
              <w:rFonts w:eastAsia="Times New Roman"/>
              <w:i/>
              <w:iCs/>
            </w:rPr>
            <w:t>Chemosphere</w:t>
          </w:r>
          <w:proofErr w:type="spellEnd"/>
          <w:r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56</w:t>
          </w:r>
          <w:r>
            <w:rPr>
              <w:rFonts w:eastAsia="Times New Roman"/>
            </w:rPr>
            <w:t>, 1021–1032 (2004).</w:t>
          </w:r>
        </w:p>
        <w:p w14:paraId="5774D36A" w14:textId="5BAD7299" w:rsidR="00CE1ED9" w:rsidRPr="00EA654B" w:rsidRDefault="00000000"/>
      </w:sdtContent>
    </w:sdt>
    <w:sectPr w:rsidR="00CE1ED9" w:rsidRPr="00EA654B">
      <w:pgSz w:w="11909" w:h="16834"/>
      <w:pgMar w:top="992" w:right="1440" w:bottom="831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uzana Toušová" w:date="2023-11-15T07:54:00Z" w:initials="ZT">
    <w:p w14:paraId="255A6517" w14:textId="77777777" w:rsidR="00D21221" w:rsidRDefault="00D21221" w:rsidP="00615675">
      <w:pPr>
        <w:pStyle w:val="Textkomente"/>
      </w:pPr>
      <w:r>
        <w:rPr>
          <w:rStyle w:val="Odkaznakoment"/>
        </w:rPr>
        <w:annotationRef/>
      </w:r>
      <w:r>
        <w:t>Tento graf má nějaké divné koncentrace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5A65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B4E51EB" w16cex:dateUtc="2023-11-15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5A6517" w16cid:durableId="3B4E51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21F7"/>
    <w:multiLevelType w:val="multilevel"/>
    <w:tmpl w:val="8AAEA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D562B1"/>
    <w:multiLevelType w:val="multilevel"/>
    <w:tmpl w:val="FC945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2938B9"/>
    <w:multiLevelType w:val="multilevel"/>
    <w:tmpl w:val="BAA27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DD6E23"/>
    <w:multiLevelType w:val="hybridMultilevel"/>
    <w:tmpl w:val="5342869E"/>
    <w:lvl w:ilvl="0" w:tplc="4DEA60F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13EE"/>
    <w:multiLevelType w:val="multilevel"/>
    <w:tmpl w:val="7862E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527252"/>
    <w:multiLevelType w:val="multilevel"/>
    <w:tmpl w:val="261EA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455A9D"/>
    <w:multiLevelType w:val="multilevel"/>
    <w:tmpl w:val="FE3E3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5440896">
    <w:abstractNumId w:val="4"/>
  </w:num>
  <w:num w:numId="2" w16cid:durableId="1177577699">
    <w:abstractNumId w:val="0"/>
  </w:num>
  <w:num w:numId="3" w16cid:durableId="1140078976">
    <w:abstractNumId w:val="2"/>
  </w:num>
  <w:num w:numId="4" w16cid:durableId="2139253547">
    <w:abstractNumId w:val="6"/>
  </w:num>
  <w:num w:numId="5" w16cid:durableId="1237013707">
    <w:abstractNumId w:val="1"/>
  </w:num>
  <w:num w:numId="6" w16cid:durableId="1677875798">
    <w:abstractNumId w:val="5"/>
  </w:num>
  <w:num w:numId="7" w16cid:durableId="140634155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Toušová">
    <w15:presenceInfo w15:providerId="AD" w15:userId="S::177016@muni.cz::0cac2013-da42-4345-8a23-090ac534f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D9"/>
    <w:rsid w:val="00003032"/>
    <w:rsid w:val="0001775F"/>
    <w:rsid w:val="00210576"/>
    <w:rsid w:val="002377E3"/>
    <w:rsid w:val="003D3E66"/>
    <w:rsid w:val="00474622"/>
    <w:rsid w:val="004E38FF"/>
    <w:rsid w:val="006C616E"/>
    <w:rsid w:val="00801542"/>
    <w:rsid w:val="0083046B"/>
    <w:rsid w:val="009A4FA2"/>
    <w:rsid w:val="00A062EB"/>
    <w:rsid w:val="00A11B89"/>
    <w:rsid w:val="00A63AA6"/>
    <w:rsid w:val="00A742CE"/>
    <w:rsid w:val="00A96D48"/>
    <w:rsid w:val="00AF1784"/>
    <w:rsid w:val="00B529EE"/>
    <w:rsid w:val="00BD3B4C"/>
    <w:rsid w:val="00C21952"/>
    <w:rsid w:val="00CE1ED9"/>
    <w:rsid w:val="00D21221"/>
    <w:rsid w:val="00D2337F"/>
    <w:rsid w:val="00D40CAA"/>
    <w:rsid w:val="00E00060"/>
    <w:rsid w:val="00EA654B"/>
    <w:rsid w:val="00F5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6A33"/>
  <w15:docId w15:val="{4263DB86-972F-4645-BEE7-866538CC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E00060"/>
    <w:rPr>
      <w:color w:val="666666"/>
    </w:rPr>
  </w:style>
  <w:style w:type="paragraph" w:styleId="Odstavecseseznamem">
    <w:name w:val="List Paragraph"/>
    <w:basedOn w:val="Normln"/>
    <w:uiPriority w:val="34"/>
    <w:qFormat/>
    <w:rsid w:val="009A4FA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212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12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12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1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12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chart" Target="charts/chart1.xml"/><Relationship Id="rId12" Type="http://schemas.microsoft.com/office/2018/08/relationships/commentsExtensible" Target="commentsExtensible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co\Downloads\Kuncova_rasy_uprav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co\Downloads\Kuncova_rasy_uprav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 b="0"/>
              <a:t>Inhibice růstové rychlosti diuron</a:t>
            </a:r>
            <a:r>
              <a:rPr lang="en-US" b="0"/>
              <a:t> 
</a:t>
            </a:r>
          </a:p>
        </c:rich>
      </c:tx>
      <c:layout>
        <c:manualLayout>
          <c:xMode val="edge"/>
          <c:yMode val="edge"/>
          <c:x val="0.2969500187802378"/>
          <c:y val="5.070810508924358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3760641911779359"/>
          <c:y val="0.14974063071949537"/>
          <c:w val="0.70434110108706049"/>
          <c:h val="0.6505521472392638"/>
        </c:manualLayout>
      </c:layout>
      <c:lineChart>
        <c:grouping val="standard"/>
        <c:varyColors val="0"/>
        <c:ser>
          <c:idx val="0"/>
          <c:order val="0"/>
          <c:tx>
            <c:strRef>
              <c:f>'Odstranění odlehlých hodnot'!$AU$48</c:f>
              <c:strCache>
                <c:ptCount val="1"/>
                <c:pt idx="0">
                  <c:v>24h</c:v>
                </c:pt>
              </c:strCache>
            </c:strRef>
          </c:tx>
          <c:cat>
            <c:numRef>
              <c:f>'Odstranění odlehlých hodnot'!$AW$44:$BE$44</c:f>
              <c:numCache>
                <c:formatCode>0.00</c:formatCode>
                <c:ptCount val="9"/>
                <c:pt idx="0">
                  <c:v>2.4700000000000002</c:v>
                </c:pt>
                <c:pt idx="1">
                  <c:v>7.4</c:v>
                </c:pt>
                <c:pt idx="2" formatCode="0.0">
                  <c:v>22.2</c:v>
                </c:pt>
                <c:pt idx="3" formatCode="0.0">
                  <c:v>66.599999999999994</c:v>
                </c:pt>
                <c:pt idx="4" formatCode="General">
                  <c:v>200</c:v>
                </c:pt>
                <c:pt idx="5" formatCode="General">
                  <c:v>125</c:v>
                </c:pt>
                <c:pt idx="6" formatCode="General">
                  <c:v>250</c:v>
                </c:pt>
                <c:pt idx="7" formatCode="General">
                  <c:v>500</c:v>
                </c:pt>
                <c:pt idx="8" formatCode="General">
                  <c:v>1000</c:v>
                </c:pt>
              </c:numCache>
            </c:numRef>
          </c:cat>
          <c:val>
            <c:numRef>
              <c:f>'Odstranění odlehlých hodnot'!$AW$48:$BA$48</c:f>
              <c:numCache>
                <c:formatCode>0.0</c:formatCode>
                <c:ptCount val="5"/>
                <c:pt idx="0" formatCode="0.00">
                  <c:v>0</c:v>
                </c:pt>
                <c:pt idx="1">
                  <c:v>16.866619994149669</c:v>
                </c:pt>
                <c:pt idx="2">
                  <c:v>25.201135839951398</c:v>
                </c:pt>
                <c:pt idx="3">
                  <c:v>61.562513343560859</c:v>
                </c:pt>
                <c:pt idx="4">
                  <c:v>84.896539087307701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8C-4DB0-AD31-739EDCB6C77A}"/>
            </c:ext>
          </c:extLst>
        </c:ser>
        <c:ser>
          <c:idx val="1"/>
          <c:order val="1"/>
          <c:tx>
            <c:strRef>
              <c:f>'Odstranění odlehlých hodnot'!$AU$50</c:f>
              <c:strCache>
                <c:ptCount val="1"/>
                <c:pt idx="0">
                  <c:v>48h</c:v>
                </c:pt>
              </c:strCache>
            </c:strRef>
          </c:tx>
          <c:cat>
            <c:numRef>
              <c:f>'Odstranění odlehlých hodnot'!$AW$44:$BE$44</c:f>
              <c:numCache>
                <c:formatCode>0.00</c:formatCode>
                <c:ptCount val="9"/>
                <c:pt idx="0">
                  <c:v>2.4700000000000002</c:v>
                </c:pt>
                <c:pt idx="1">
                  <c:v>7.4</c:v>
                </c:pt>
                <c:pt idx="2" formatCode="0.0">
                  <c:v>22.2</c:v>
                </c:pt>
                <c:pt idx="3" formatCode="0.0">
                  <c:v>66.599999999999994</c:v>
                </c:pt>
                <c:pt idx="4" formatCode="General">
                  <c:v>200</c:v>
                </c:pt>
                <c:pt idx="5" formatCode="General">
                  <c:v>125</c:v>
                </c:pt>
                <c:pt idx="6" formatCode="General">
                  <c:v>250</c:v>
                </c:pt>
                <c:pt idx="7" formatCode="General">
                  <c:v>500</c:v>
                </c:pt>
                <c:pt idx="8" formatCode="General">
                  <c:v>1000</c:v>
                </c:pt>
              </c:numCache>
            </c:numRef>
          </c:cat>
          <c:val>
            <c:numRef>
              <c:f>'Odstranění odlehlých hodnot'!$AW$50:$BA$50</c:f>
              <c:numCache>
                <c:formatCode>0.00</c:formatCode>
                <c:ptCount val="5"/>
                <c:pt idx="0">
                  <c:v>-1.4506914188435378E-14</c:v>
                </c:pt>
                <c:pt idx="1">
                  <c:v>6.8387039518302997</c:v>
                </c:pt>
                <c:pt idx="2" formatCode="0.0">
                  <c:v>18.344015567940232</c:v>
                </c:pt>
                <c:pt idx="3" formatCode="0.0">
                  <c:v>42.459382058886781</c:v>
                </c:pt>
                <c:pt idx="4" formatCode="0.0">
                  <c:v>83.025677819435501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8C-4DB0-AD31-739EDCB6C77A}"/>
            </c:ext>
          </c:extLst>
        </c:ser>
        <c:ser>
          <c:idx val="2"/>
          <c:order val="2"/>
          <c:tx>
            <c:strRef>
              <c:f>'Odstranění odlehlých hodnot'!$AU$52</c:f>
              <c:strCache>
                <c:ptCount val="1"/>
                <c:pt idx="0">
                  <c:v>72h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cat>
            <c:numRef>
              <c:f>'Odstranění odlehlých hodnot'!$AW$44:$BE$44</c:f>
              <c:numCache>
                <c:formatCode>0.00</c:formatCode>
                <c:ptCount val="9"/>
                <c:pt idx="0">
                  <c:v>2.4700000000000002</c:v>
                </c:pt>
                <c:pt idx="1">
                  <c:v>7.4</c:v>
                </c:pt>
                <c:pt idx="2" formatCode="0.0">
                  <c:v>22.2</c:v>
                </c:pt>
                <c:pt idx="3" formatCode="0.0">
                  <c:v>66.599999999999994</c:v>
                </c:pt>
                <c:pt idx="4" formatCode="General">
                  <c:v>200</c:v>
                </c:pt>
                <c:pt idx="5" formatCode="General">
                  <c:v>125</c:v>
                </c:pt>
                <c:pt idx="6" formatCode="General">
                  <c:v>250</c:v>
                </c:pt>
                <c:pt idx="7" formatCode="General">
                  <c:v>500</c:v>
                </c:pt>
                <c:pt idx="8" formatCode="General">
                  <c:v>1000</c:v>
                </c:pt>
              </c:numCache>
            </c:numRef>
          </c:cat>
          <c:val>
            <c:numRef>
              <c:f>'Odstranění odlehlých hodnot'!$AW$52:$BA$52</c:f>
              <c:numCache>
                <c:formatCode>0.0</c:formatCode>
                <c:ptCount val="5"/>
                <c:pt idx="0">
                  <c:v>-33.333333333333336</c:v>
                </c:pt>
                <c:pt idx="1">
                  <c:v>-27.610147337051739</c:v>
                </c:pt>
                <c:pt idx="2">
                  <c:v>-15.33467568734152</c:v>
                </c:pt>
                <c:pt idx="3">
                  <c:v>13.981065398847223</c:v>
                </c:pt>
                <c:pt idx="4">
                  <c:v>57.362120653677287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B8C-4DB0-AD31-739EDCB6C7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419008"/>
        <c:axId val="31420800"/>
      </c:lineChart>
      <c:catAx>
        <c:axId val="31419008"/>
        <c:scaling>
          <c:orientation val="minMax"/>
        </c:scaling>
        <c:delete val="0"/>
        <c:axPos val="b"/>
        <c:numFmt formatCode="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31420800"/>
        <c:crosses val="autoZero"/>
        <c:auto val="1"/>
        <c:lblAlgn val="ctr"/>
        <c:lblOffset val="100"/>
        <c:noMultiLvlLbl val="0"/>
      </c:catAx>
      <c:valAx>
        <c:axId val="3142080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2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cs-CZ" b="0"/>
                  <a:t>% Inhibition</a:t>
                </a:r>
              </a:p>
            </c:rich>
          </c:tx>
          <c:layout>
            <c:manualLayout>
              <c:xMode val="edge"/>
              <c:yMode val="edge"/>
              <c:x val="1.8794036375951541E-2"/>
              <c:y val="0.35280500385213048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31419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149918709554063"/>
          <c:y val="0.33409796621186405"/>
          <c:w val="0.10648602027344702"/>
          <c:h val="0.31214963002871354"/>
        </c:manualLayout>
      </c:layout>
      <c:overlay val="0"/>
      <c:txPr>
        <a:bodyPr/>
        <a:lstStyle/>
        <a:p>
          <a:pPr>
            <a:defRPr sz="16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 b="0"/>
              <a:t>Inhibice růstové rychlosti dichroman</a:t>
            </a:r>
            <a:r>
              <a:rPr lang="cs-CZ" b="0" baseline="0"/>
              <a:t> draselný</a:t>
            </a:r>
            <a:r>
              <a:rPr lang="en-US" b="0"/>
              <a:t> 
</a:t>
            </a:r>
          </a:p>
        </c:rich>
      </c:tx>
      <c:layout>
        <c:manualLayout>
          <c:xMode val="edge"/>
          <c:yMode val="edge"/>
          <c:x val="0.2969500187802378"/>
          <c:y val="5.070810508924358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3760641911779359"/>
          <c:y val="0.14974063071949537"/>
          <c:w val="0.70434110108706049"/>
          <c:h val="0.6505521472392638"/>
        </c:manualLayout>
      </c:layout>
      <c:lineChart>
        <c:grouping val="standard"/>
        <c:varyColors val="0"/>
        <c:ser>
          <c:idx val="0"/>
          <c:order val="0"/>
          <c:tx>
            <c:strRef>
              <c:f>'Odstranění odlehlých hodnot'!$AU$48</c:f>
              <c:strCache>
                <c:ptCount val="1"/>
                <c:pt idx="0">
                  <c:v>24h</c:v>
                </c:pt>
              </c:strCache>
            </c:strRef>
          </c:tx>
          <c:cat>
            <c:numRef>
              <c:f>'Odstranění odlehlých hodnot'!$AW$44:$BE$44</c:f>
              <c:numCache>
                <c:formatCode>0.00</c:formatCode>
                <c:ptCount val="9"/>
                <c:pt idx="0">
                  <c:v>2.4700000000000002</c:v>
                </c:pt>
                <c:pt idx="1">
                  <c:v>7.4</c:v>
                </c:pt>
                <c:pt idx="2" formatCode="0.0">
                  <c:v>22.2</c:v>
                </c:pt>
                <c:pt idx="3" formatCode="0.0">
                  <c:v>66.599999999999994</c:v>
                </c:pt>
                <c:pt idx="4" formatCode="General">
                  <c:v>200</c:v>
                </c:pt>
                <c:pt idx="5" formatCode="General">
                  <c:v>125</c:v>
                </c:pt>
                <c:pt idx="6" formatCode="General">
                  <c:v>250</c:v>
                </c:pt>
                <c:pt idx="7" formatCode="General">
                  <c:v>500</c:v>
                </c:pt>
                <c:pt idx="8" formatCode="General">
                  <c:v>1000</c:v>
                </c:pt>
              </c:numCache>
            </c:numRef>
          </c:cat>
          <c:val>
            <c:numRef>
              <c:f>'Odstranění odlehlých hodnot'!$BB$48:$BE$48</c:f>
              <c:numCache>
                <c:formatCode>0.0</c:formatCode>
                <c:ptCount val="4"/>
                <c:pt idx="0">
                  <c:v>91.518948087178842</c:v>
                </c:pt>
                <c:pt idx="1">
                  <c:v>67.356709302221802</c:v>
                </c:pt>
                <c:pt idx="2">
                  <c:v>22.869999369297005</c:v>
                </c:pt>
                <c:pt idx="3">
                  <c:v>90.917706804049601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9EA-4D95-B740-C8EE2F537275}"/>
            </c:ext>
          </c:extLst>
        </c:ser>
        <c:ser>
          <c:idx val="1"/>
          <c:order val="1"/>
          <c:tx>
            <c:strRef>
              <c:f>'Odstranění odlehlých hodnot'!$AU$50</c:f>
              <c:strCache>
                <c:ptCount val="1"/>
                <c:pt idx="0">
                  <c:v>48h</c:v>
                </c:pt>
              </c:strCache>
            </c:strRef>
          </c:tx>
          <c:cat>
            <c:numRef>
              <c:f>'Odstranění odlehlých hodnot'!$AW$44:$BE$44</c:f>
              <c:numCache>
                <c:formatCode>0.00</c:formatCode>
                <c:ptCount val="9"/>
                <c:pt idx="0">
                  <c:v>2.4700000000000002</c:v>
                </c:pt>
                <c:pt idx="1">
                  <c:v>7.4</c:v>
                </c:pt>
                <c:pt idx="2" formatCode="0.0">
                  <c:v>22.2</c:v>
                </c:pt>
                <c:pt idx="3" formatCode="0.0">
                  <c:v>66.599999999999994</c:v>
                </c:pt>
                <c:pt idx="4" formatCode="General">
                  <c:v>200</c:v>
                </c:pt>
                <c:pt idx="5" formatCode="General">
                  <c:v>125</c:v>
                </c:pt>
                <c:pt idx="6" formatCode="General">
                  <c:v>250</c:v>
                </c:pt>
                <c:pt idx="7" formatCode="General">
                  <c:v>500</c:v>
                </c:pt>
                <c:pt idx="8" formatCode="General">
                  <c:v>1000</c:v>
                </c:pt>
              </c:numCache>
            </c:numRef>
          </c:cat>
          <c:val>
            <c:numRef>
              <c:f>'Odstranění odlehlých hodnot'!$BB$50:$BE$50</c:f>
              <c:numCache>
                <c:formatCode>0.0</c:formatCode>
                <c:ptCount val="4"/>
                <c:pt idx="0">
                  <c:v>83.497191929152535</c:v>
                </c:pt>
                <c:pt idx="1">
                  <c:v>56.838497829266402</c:v>
                </c:pt>
                <c:pt idx="2">
                  <c:v>31.866694163884929</c:v>
                </c:pt>
                <c:pt idx="3">
                  <c:v>46.661023877616863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9EA-4D95-B740-C8EE2F537275}"/>
            </c:ext>
          </c:extLst>
        </c:ser>
        <c:ser>
          <c:idx val="2"/>
          <c:order val="2"/>
          <c:tx>
            <c:strRef>
              <c:f>'Odstranění odlehlých hodnot'!$AU$52</c:f>
              <c:strCache>
                <c:ptCount val="1"/>
                <c:pt idx="0">
                  <c:v>72h</c:v>
                </c:pt>
              </c:strCache>
            </c:strRef>
          </c:tx>
          <c:cat>
            <c:numRef>
              <c:f>'Odstranění odlehlých hodnot'!$AW$44:$BE$44</c:f>
              <c:numCache>
                <c:formatCode>0.00</c:formatCode>
                <c:ptCount val="9"/>
                <c:pt idx="0">
                  <c:v>2.4700000000000002</c:v>
                </c:pt>
                <c:pt idx="1">
                  <c:v>7.4</c:v>
                </c:pt>
                <c:pt idx="2" formatCode="0.0">
                  <c:v>22.2</c:v>
                </c:pt>
                <c:pt idx="3" formatCode="0.0">
                  <c:v>66.599999999999994</c:v>
                </c:pt>
                <c:pt idx="4" formatCode="General">
                  <c:v>200</c:v>
                </c:pt>
                <c:pt idx="5" formatCode="General">
                  <c:v>125</c:v>
                </c:pt>
                <c:pt idx="6" formatCode="General">
                  <c:v>250</c:v>
                </c:pt>
                <c:pt idx="7" formatCode="General">
                  <c:v>500</c:v>
                </c:pt>
                <c:pt idx="8" formatCode="General">
                  <c:v>1000</c:v>
                </c:pt>
              </c:numCache>
            </c:numRef>
          </c:cat>
          <c:val>
            <c:numRef>
              <c:f>'Odstranění odlehlých hodnot'!$BB$52:$BE$52</c:f>
              <c:numCache>
                <c:formatCode>0.0</c:formatCode>
                <c:ptCount val="4"/>
                <c:pt idx="0">
                  <c:v>76.855600141370047</c:v>
                </c:pt>
                <c:pt idx="1">
                  <c:v>29.002732748478966</c:v>
                </c:pt>
                <c:pt idx="2" formatCode="0.00">
                  <c:v>3.2344893978634839</c:v>
                </c:pt>
                <c:pt idx="3" formatCode="0.00">
                  <c:v>-6.1936547488727074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9EA-4D95-B740-C8EE2F5372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419008"/>
        <c:axId val="31420800"/>
      </c:lineChart>
      <c:catAx>
        <c:axId val="31419008"/>
        <c:scaling>
          <c:orientation val="minMax"/>
        </c:scaling>
        <c:delete val="0"/>
        <c:axPos val="b"/>
        <c:numFmt formatCode="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31420800"/>
        <c:crosses val="autoZero"/>
        <c:auto val="1"/>
        <c:lblAlgn val="ctr"/>
        <c:lblOffset val="100"/>
        <c:noMultiLvlLbl val="0"/>
      </c:catAx>
      <c:valAx>
        <c:axId val="3142080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2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cs-CZ" b="0"/>
                  <a:t>% Inhibition</a:t>
                </a:r>
              </a:p>
            </c:rich>
          </c:tx>
          <c:layout>
            <c:manualLayout>
              <c:xMode val="edge"/>
              <c:yMode val="edge"/>
              <c:x val="1.8794036375951541E-2"/>
              <c:y val="0.35280500385213048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31419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149918709554063"/>
          <c:y val="0.33409796621186405"/>
          <c:w val="0.10648602027344702"/>
          <c:h val="0.31214963002871354"/>
        </c:manualLayout>
      </c:layout>
      <c:overlay val="0"/>
      <c:txPr>
        <a:bodyPr/>
        <a:lstStyle/>
        <a:p>
          <a:pPr>
            <a:defRPr sz="16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41058-CD29-4B65-B158-9F9F8B8B2A6A}"/>
      </w:docPartPr>
      <w:docPartBody>
        <w:p w:rsidR="00D821AF" w:rsidRDefault="00226CCB">
          <w:r w:rsidRPr="00BF203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CB"/>
    <w:rsid w:val="000E5E74"/>
    <w:rsid w:val="00226CCB"/>
    <w:rsid w:val="00701D17"/>
    <w:rsid w:val="00750FDF"/>
    <w:rsid w:val="00D8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6CC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0AAEDD-5076-427F-B838-52414892D5FD}">
  <we:reference id="wa104382081" version="1.55.1.0" store="cs-CZ" storeType="OMEX"/>
  <we:alternateReferences>
    <we:reference id="WA104382081" version="1.55.1.0" store="" storeType="OMEX"/>
  </we:alternateReferences>
  <we:properties>
    <we:property name="MENDELEY_CITATIONS" value="[{&quot;citationID&quot;:&quot;MENDELEY_CITATION_de971cd7-2d65-4edf-8f4d-18214ceb6543&quot;,&quot;properties&quot;:{&quot;noteIndex&quot;:0},&quot;isEdited&quot;:false,&quot;manualOverride&quot;:{&quot;isManuallyOverridden&quot;:false,&quot;citeprocText&quot;:&quot;&lt;sup&gt;1&lt;/sup&gt;&quot;,&quot;manualOverrideText&quot;:&quot;&quot;},&quot;citationTag&quot;:&quot;MENDELEY_CITATION_v3_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&quot;,&quot;citationItems&quot;:[{&quot;id&quot;:&quot;bb7f50cf-4b1c-3590-9c86-39c58fa835ae&quot;,&quot;itemData&quot;:{&quot;type&quot;:&quot;article-journal&quot;,&quot;id&quot;:&quot;bb7f50cf-4b1c-3590-9c86-39c58fa835ae&quot;,&quot;title&quot;:&quot;Effects of diuron and carbofuran and their mixtures on the microalgae Raphidocelis subcapitata&quot;,&quot;author&quot;:[{&quot;family&quot;:&quot;Adrislaine S. Mansano&quot;,&quot;given&quot;:&quot;Raquel A. Moreira, Hugo C. Dornfeld, Emanuela C. Freitas, Eny M. Vieira, Hugo Sarmento, Odete Rocha, Mirna H.R. Seleghim&quot;,&quot;parse-names&quot;:false,&quot;dropping-particle&quot;:&quot;&quot;,&quot;non-dropping-particle&quot;:&quot;&quot;}],&quot;container-title&quot;:&quot;Ecotoxicology and Environmental Safety&quot;,&quot;container-title-short&quot;:&quot;Ecotoxicol Environ Saf&quot;,&quot;issued&quot;:{&quot;date-parts&quot;:[[2017,8]]},&quot;page&quot;:&quot;312-321&quot;,&quot;volume&quot;:&quot;142&quot;},&quot;isTemporary&quot;:false}]},{&quot;citationID&quot;:&quot;MENDELEY_CITATION_0b4f2089-2343-4cd4-9e3d-29d8b7a369f4&quot;,&quot;properties&quot;:{&quot;noteIndex&quot;:0},&quot;isEdited&quot;:false,&quot;manualOverride&quot;:{&quot;isManuallyOverridden&quot;:false,&quot;citeprocText&quot;:&quot;&lt;sup&gt;1&lt;/sup&gt;&quot;,&quot;manualOverrideText&quot;:&quot;&quot;},&quot;citationTag&quot;:&quot;MENDELEY_CITATION_v3_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&quot;,&quot;citationItems&quot;:[{&quot;id&quot;:&quot;bb7f50cf-4b1c-3590-9c86-39c58fa835ae&quot;,&quot;itemData&quot;:{&quot;type&quot;:&quot;article-journal&quot;,&quot;id&quot;:&quot;bb7f50cf-4b1c-3590-9c86-39c58fa835ae&quot;,&quot;title&quot;:&quot;Effects of diuron and carbofuran and their mixtures on the microalgae Raphidocelis subcapitata&quot;,&quot;author&quot;:[{&quot;family&quot;:&quot;Adrislaine S. Mansano&quot;,&quot;given&quot;:&quot;Raquel A. Moreira, Hugo C. Dornfeld, Emanuela C. Freitas, Eny M. Vieira, Hugo Sarmento, Odete Rocha, Mirna H.R. Seleghim&quot;,&quot;parse-names&quot;:false,&quot;dropping-particle&quot;:&quot;&quot;,&quot;non-dropping-particle&quot;:&quot;&quot;}],&quot;container-title&quot;:&quot;Ecotoxicology and Environmental Safety&quot;,&quot;container-title-short&quot;:&quot;Ecotoxicol Environ Saf&quot;,&quot;issued&quot;:{&quot;date-parts&quot;:[[2017,8]]},&quot;page&quot;:&quot;312-321&quot;,&quot;volume&quot;:&quot;142&quot;},&quot;isTemporary&quot;:false}]},{&quot;citationID&quot;:&quot;MENDELEY_CITATION_ffb91322-92e5-4332-94f6-ba693fae7305&quot;,&quot;properties&quot;:{&quot;noteIndex&quot;:0},&quot;isEdited&quot;:false,&quot;manualOverride&quot;:{&quot;isManuallyOverridden&quot;:false,&quot;citeprocText&quot;:&quot;&lt;sup&gt;2&lt;/sup&gt;&quot;,&quot;manualOverrideText&quot;:&quot;&quot;},&quot;citationTag&quot;:&quot;MENDELEY_CITATION_v3_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&quot;,&quot;citationItems&quot;:[{&quot;id&quot;:&quot;15a89fe0-0d88-38ea-9e3d-b0595106ff66&quot;,&quot;itemData&quot;:{&quot;type&quot;:&quot;article-journal&quot;,&quot;id&quot;:&quot;15a89fe0-0d88-38ea-9e3d-b0595106ff66&quot;,&quot;title&quot;:&quot;Environmental impact of diuron transformation: a review&quot;,&quot;author&quot;:[{&quot;family&quot;:&quot;S Giacomazzi&quot;,&quot;given&quot;:&quot;N Cochet&quot;,&quot;parse-names&quot;:false,&quot;dropping-particle&quot;:&quot;&quot;,&quot;non-dropping-particle&quot;:&quot;&quot;}],&quot;container-title&quot;:&quot;Chemosphere&quot;,&quot;container-title-short&quot;:&quot;Chemosphere&quot;,&quot;issued&quot;:{&quot;date-parts&quot;:[[2004,9]]},&quot;page&quot;:&quot;1021-1032&quot;,&quot;issue&quot;:&quot;11&quot;,&quot;volume&quot;:&quot;56&quot;},&quot;isTemporary&quot;:false}]},{&quot;citationID&quot;:&quot;MENDELEY_CITATION_3adb69ea-834d-49bc-922a-d0fa3a0a4048&quot;,&quot;properties&quot;:{&quot;noteIndex&quot;:0},&quot;isEdited&quot;:false,&quot;manualOverride&quot;:{&quot;isManuallyOverridden&quot;:false,&quot;citeprocText&quot;:&quot;&lt;sup&gt;2&lt;/sup&gt;&quot;,&quot;manualOverrideText&quot;:&quot;&quot;},&quot;citationTag&quot;:&quot;MENDELEY_CITATION_v3_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&quot;,&quot;citationItems&quot;:[{&quot;id&quot;:&quot;15a89fe0-0d88-38ea-9e3d-b0595106ff66&quot;,&quot;itemData&quot;:{&quot;type&quot;:&quot;article-journal&quot;,&quot;id&quot;:&quot;15a89fe0-0d88-38ea-9e3d-b0595106ff66&quot;,&quot;title&quot;:&quot;Environmental impact of diuron transformation: a review&quot;,&quot;author&quot;:[{&quot;family&quot;:&quot;S Giacomazzi&quot;,&quot;given&quot;:&quot;N Cochet&quot;,&quot;parse-names&quot;:false,&quot;dropping-particle&quot;:&quot;&quot;,&quot;non-dropping-particle&quot;:&quot;&quot;}],&quot;container-title&quot;:&quot;Chemosphere&quot;,&quot;container-title-short&quot;:&quot;Chemosphere&quot;,&quot;issued&quot;:{&quot;date-parts&quot;:[[2004,9]]},&quot;page&quot;:&quot;1021-1032&quot;,&quot;issue&quot;:&quot;11&quot;,&quot;volume&quot;:&quot;56&quot;},&quot;isTemporary&quot;:false}]},{&quot;citationID&quot;:&quot;MENDELEY_CITATION_6636d56f-df3d-42ac-bfa0-3a388a5480d0&quot;,&quot;properties&quot;:{&quot;noteIndex&quot;:0},&quot;isEdited&quot;:false,&quot;manualOverride&quot;:{&quot;isManuallyOverridden&quot;:false,&quot;citeprocText&quot;:&quot;&lt;sup&gt;1&lt;/sup&gt;&quot;,&quot;manualOverrideText&quot;:&quot;&quot;},&quot;citationTag&quot;:&quot;MENDELEY_CITATION_v3_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&quot;,&quot;citationItems&quot;:[{&quot;id&quot;:&quot;bb7f50cf-4b1c-3590-9c86-39c58fa835ae&quot;,&quot;itemData&quot;:{&quot;type&quot;:&quot;article-journal&quot;,&quot;id&quot;:&quot;bb7f50cf-4b1c-3590-9c86-39c58fa835ae&quot;,&quot;title&quot;:&quot;Effects of diuron and carbofuran and their mixtures on the microalgae Raphidocelis subcapitata&quot;,&quot;author&quot;:[{&quot;family&quot;:&quot;Adrislaine S. Mansano&quot;,&quot;given&quot;:&quot;Raquel A. Moreira, Hugo C. Dornfeld, Emanuela C. Freitas, Eny M. Vieira, Hugo Sarmento, Odete Rocha, Mirna H.R. Seleghim&quot;,&quot;parse-names&quot;:false,&quot;dropping-particle&quot;:&quot;&quot;,&quot;non-dropping-particle&quot;:&quot;&quot;}],&quot;container-title&quot;:&quot;Ecotoxicology and Environmental Safety&quot;,&quot;container-title-short&quot;:&quot;Ecotoxicol Environ Saf&quot;,&quot;issued&quot;:{&quot;date-parts&quot;:[[2017,8]]},&quot;page&quot;:&quot;312-321&quot;,&quot;volume&quot;:&quot;142&quot;},&quot;isTemporary&quot;:false}]},{&quot;citationID&quot;:&quot;MENDELEY_CITATION_f8867bde-1b5f-404a-8a63-e081087fed0e&quot;,&quot;properties&quot;:{&quot;noteIndex&quot;:0},&quot;isEdited&quot;:false,&quot;manualOverride&quot;:{&quot;isManuallyOverridden&quot;:false,&quot;citeprocText&quot;:&quot;&lt;sup&gt;1&lt;/sup&gt;&quot;,&quot;manualOverrideText&quot;:&quot;&quot;},&quot;citationTag&quot;:&quot;MENDELEY_CITATION_v3_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&quot;,&quot;citationItems&quot;:[{&quot;id&quot;:&quot;bb7f50cf-4b1c-3590-9c86-39c58fa835ae&quot;,&quot;itemData&quot;:{&quot;type&quot;:&quot;article-journal&quot;,&quot;id&quot;:&quot;bb7f50cf-4b1c-3590-9c86-39c58fa835ae&quot;,&quot;title&quot;:&quot;Effects of diuron and carbofuran and their mixtures on the microalgae Raphidocelis subcapitata&quot;,&quot;author&quot;:[{&quot;family&quot;:&quot;Adrislaine S. Mansano&quot;,&quot;given&quot;:&quot;Raquel A. Moreira, Hugo C. Dornfeld, Emanuela C. Freitas, Eny M. Vieira, Hugo Sarmento, Odete Rocha, Mirna H.R. Seleghim&quot;,&quot;parse-names&quot;:false,&quot;dropping-particle&quot;:&quot;&quot;,&quot;non-dropping-particle&quot;:&quot;&quot;}],&quot;container-title&quot;:&quot;Ecotoxicology and Environmental Safety&quot;,&quot;container-title-short&quot;:&quot;Ecotoxicol Environ Saf&quot;,&quot;issued&quot;:{&quot;date-parts&quot;:[[2017,8]]},&quot;page&quot;:&quot;312-321&quot;,&quot;volume&quot;:&quot;142&quot;},&quot;isTemporary&quot;:false}]}]"/>
    <we:property name="MENDELEY_CITATIONS_LOCALE_CODE" value="&quot;en-GB&quot;"/>
    <we:property name="MENDELEY_CITATIONS_STYLE" value="{&quot;id&quot;:&quot;https://www.zotero.org/styles/nature&quot;,&quot;title&quot;:&quot;Nature&quot;,&quot;format&quot;:&quot;numeric&quot;,&quot;defaultLocale&quot;:&quot;en-GB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+6kvDlwN1VnQpGB+pj9MdutvpA==">CgMxLjA4AHIhMTRpb3puNHhBcTdlZ0lHZGVfbnE3aFpYel8zd3dlR2Jl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20E53C0FB7AC40913581C3C1FA0F4B" ma:contentTypeVersion="20" ma:contentTypeDescription="Vytvoří nový dokument" ma:contentTypeScope="" ma:versionID="7e138814efcdda677049fd1afc69ee2f">
  <xsd:schema xmlns:xsd="http://www.w3.org/2001/XMLSchema" xmlns:xs="http://www.w3.org/2001/XMLSchema" xmlns:p="http://schemas.microsoft.com/office/2006/metadata/properties" xmlns:ns2="762f013f-6d94-4785-8b23-f7ce69e38c4e" xmlns:ns3="15c662ed-2173-4984-a730-079efaff7a70" targetNamespace="http://schemas.microsoft.com/office/2006/metadata/properties" ma:root="true" ma:fieldsID="cd4c59843759059c4cd113905e54a6af" ns2:_="" ns3:_="">
    <xsd:import namespace="762f013f-6d94-4785-8b23-f7ce69e38c4e"/>
    <xsd:import namespace="15c662ed-2173-4984-a730-079efaff7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osledn_x00ed_verz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f013f-6d94-4785-8b23-f7ce69e38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sledn_x00ed_verze" ma:index="20" nillable="true" ma:displayName="poslední verze" ma:format="Dropdown" ma:internalName="posledn_x00ed_verz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662ed-2173-4984-a730-079efaff7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b74b83-5a11-49cd-b760-2107ffd8a018}" ma:internalName="TaxCatchAll" ma:showField="CatchAllData" ma:web="15c662ed-2173-4984-a730-079efaff7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ledn_x00ed_verze xmlns="762f013f-6d94-4785-8b23-f7ce69e38c4e" xsi:nil="true"/>
    <TaxCatchAll xmlns="15c662ed-2173-4984-a730-079efaff7a70" xsi:nil="true"/>
    <lcf76f155ced4ddcb4097134ff3c332f xmlns="762f013f-6d94-4785-8b23-f7ce69e38c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4750DE-C5E5-4CF8-8C82-E19DF958E9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8FCC7E-5EB2-42F8-9C33-B637E2ABB0C4}"/>
</file>

<file path=customXml/itemProps4.xml><?xml version="1.0" encoding="utf-8"?>
<ds:datastoreItem xmlns:ds="http://schemas.openxmlformats.org/officeDocument/2006/customXml" ds:itemID="{25BF8907-A11E-4929-90A2-031B5BDF6427}"/>
</file>

<file path=customXml/itemProps5.xml><?xml version="1.0" encoding="utf-8"?>
<ds:datastoreItem xmlns:ds="http://schemas.openxmlformats.org/officeDocument/2006/customXml" ds:itemID="{857BC2A0-BA33-48FF-A165-CC3E6352E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Toušová</cp:lastModifiedBy>
  <cp:revision>19</cp:revision>
  <dcterms:created xsi:type="dcterms:W3CDTF">2023-11-13T19:25:00Z</dcterms:created>
  <dcterms:modified xsi:type="dcterms:W3CDTF">2023-11-15T06:54:00Z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0x0101003B20E53C0FB7AC40913581C3C1FA0F4B</vt:lpwstr>
  </property>
</Properties>
</file>